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2C363" w14:textId="085DED88" w:rsidR="00A61543" w:rsidRPr="002C50D8" w:rsidRDefault="007F1F62">
      <w:pPr>
        <w:tabs>
          <w:tab w:val="left" w:pos="1980"/>
        </w:tabs>
        <w:rPr>
          <w:rFonts w:eastAsia="Calibri" w:cs="Calibri"/>
          <w:b/>
          <w:sz w:val="16"/>
          <w:szCs w:val="16"/>
        </w:rPr>
      </w:pPr>
      <w:r w:rsidRPr="002C50D8">
        <w:rPr>
          <w:noProof/>
        </w:rPr>
        <w:drawing>
          <wp:anchor distT="0" distB="0" distL="0" distR="0" simplePos="0" relativeHeight="251658240" behindDoc="1" locked="0" layoutInCell="1" hidden="0" allowOverlap="1" wp14:anchorId="57E3B2EA" wp14:editId="555390E0">
            <wp:simplePos x="0" y="0"/>
            <wp:positionH relativeFrom="column">
              <wp:posOffset>-140969</wp:posOffset>
            </wp:positionH>
            <wp:positionV relativeFrom="paragraph">
              <wp:posOffset>-539749</wp:posOffset>
            </wp:positionV>
            <wp:extent cx="1857375" cy="773125"/>
            <wp:effectExtent l="0" t="0" r="0" b="0"/>
            <wp:wrapNone/>
            <wp:docPr id="4" name="image4.png" descr="C:\Users\gonnetj\AppData\Local\Microsoft\Windows\Temporary Internet Files\Content.IE5\VRY7GEM2\AFD_embleme_horizontale_designation_RVB.jpg"/>
            <wp:cNvGraphicFramePr/>
            <a:graphic xmlns:a="http://schemas.openxmlformats.org/drawingml/2006/main">
              <a:graphicData uri="http://schemas.openxmlformats.org/drawingml/2006/picture">
                <pic:pic xmlns:pic="http://schemas.openxmlformats.org/drawingml/2006/picture">
                  <pic:nvPicPr>
                    <pic:cNvPr id="0" name="image4.png" descr="C:\Users\gonnetj\AppData\Local\Microsoft\Windows\Temporary Internet Files\Content.IE5\VRY7GEM2\AFD_embleme_horizontale_designation_RVB.jpg"/>
                    <pic:cNvPicPr preferRelativeResize="0"/>
                  </pic:nvPicPr>
                  <pic:blipFill>
                    <a:blip r:embed="rId8"/>
                    <a:srcRect/>
                    <a:stretch>
                      <a:fillRect/>
                    </a:stretch>
                  </pic:blipFill>
                  <pic:spPr>
                    <a:xfrm>
                      <a:off x="0" y="0"/>
                      <a:ext cx="1857375" cy="773125"/>
                    </a:xfrm>
                    <a:prstGeom prst="rect">
                      <a:avLst/>
                    </a:prstGeom>
                    <a:ln/>
                  </pic:spPr>
                </pic:pic>
              </a:graphicData>
            </a:graphic>
          </wp:anchor>
        </w:drawing>
      </w:r>
    </w:p>
    <w:p w14:paraId="677EA406" w14:textId="49976F9F" w:rsidR="00A61543" w:rsidRPr="002C50D8" w:rsidRDefault="00044EE5" w:rsidP="00044EE5">
      <w:pPr>
        <w:tabs>
          <w:tab w:val="left" w:pos="7006"/>
        </w:tabs>
        <w:rPr>
          <w:rFonts w:eastAsia="Calibri" w:cs="Calibri"/>
          <w:b/>
          <w:sz w:val="16"/>
          <w:szCs w:val="16"/>
        </w:rPr>
      </w:pPr>
      <w:r>
        <w:rPr>
          <w:rFonts w:eastAsia="Calibri" w:cs="Calibri"/>
          <w:b/>
          <w:sz w:val="16"/>
          <w:szCs w:val="16"/>
        </w:rPr>
        <w:tab/>
      </w:r>
    </w:p>
    <w:p w14:paraId="00676C13" w14:textId="77777777" w:rsidR="00A61543" w:rsidRPr="002C50D8" w:rsidRDefault="00A61543">
      <w:pPr>
        <w:tabs>
          <w:tab w:val="left" w:pos="1980"/>
        </w:tabs>
        <w:rPr>
          <w:rFonts w:eastAsia="Calibri" w:cs="Calibri"/>
          <w:b/>
          <w:sz w:val="16"/>
          <w:szCs w:val="16"/>
        </w:rPr>
      </w:pPr>
    </w:p>
    <w:p w14:paraId="1AA9CBFA" w14:textId="77777777" w:rsidR="00A61543" w:rsidRPr="002C50D8" w:rsidRDefault="00A61543">
      <w:pPr>
        <w:tabs>
          <w:tab w:val="left" w:pos="1980"/>
        </w:tabs>
        <w:rPr>
          <w:rFonts w:eastAsia="Calibri" w:cs="Calibri"/>
          <w:b/>
          <w:sz w:val="16"/>
          <w:szCs w:val="16"/>
        </w:rPr>
      </w:pPr>
    </w:p>
    <w:p w14:paraId="7F02FCB3" w14:textId="77777777" w:rsidR="00A61543" w:rsidRPr="002C50D8" w:rsidRDefault="00A61543">
      <w:pPr>
        <w:tabs>
          <w:tab w:val="left" w:pos="1980"/>
        </w:tabs>
        <w:rPr>
          <w:rFonts w:eastAsia="Calibri" w:cs="Calibri"/>
          <w:b/>
          <w:sz w:val="16"/>
          <w:szCs w:val="16"/>
        </w:rPr>
      </w:pPr>
    </w:p>
    <w:p w14:paraId="30A56728" w14:textId="77777777" w:rsidR="00A61543" w:rsidRPr="002C50D8" w:rsidRDefault="00A61543">
      <w:pPr>
        <w:pBdr>
          <w:top w:val="single" w:sz="4" w:space="0" w:color="000000"/>
          <w:left w:val="single" w:sz="4" w:space="4" w:color="000000"/>
          <w:bottom w:val="single" w:sz="4" w:space="16" w:color="000000"/>
          <w:right w:val="single" w:sz="4" w:space="4" w:color="000000"/>
        </w:pBdr>
        <w:jc w:val="center"/>
        <w:rPr>
          <w:rFonts w:eastAsia="Calibri" w:cs="Calibri"/>
          <w:b/>
          <w:sz w:val="40"/>
          <w:szCs w:val="40"/>
        </w:rPr>
      </w:pPr>
    </w:p>
    <w:p w14:paraId="54732672" w14:textId="77777777" w:rsidR="00A61543" w:rsidRPr="002C50D8" w:rsidRDefault="007F1F62">
      <w:pPr>
        <w:pBdr>
          <w:top w:val="single" w:sz="4" w:space="0" w:color="000000"/>
          <w:left w:val="single" w:sz="4" w:space="4" w:color="000000"/>
          <w:bottom w:val="single" w:sz="4" w:space="16" w:color="000000"/>
          <w:right w:val="single" w:sz="4" w:space="4" w:color="000000"/>
        </w:pBdr>
        <w:jc w:val="center"/>
        <w:rPr>
          <w:rFonts w:eastAsia="Calibri" w:cs="Calibri"/>
          <w:b/>
          <w:sz w:val="36"/>
          <w:szCs w:val="36"/>
        </w:rPr>
      </w:pPr>
      <w:r w:rsidRPr="002C50D8">
        <w:rPr>
          <w:rFonts w:eastAsia="Calibri" w:cs="Calibri"/>
          <w:b/>
          <w:sz w:val="36"/>
          <w:szCs w:val="36"/>
        </w:rPr>
        <w:t>CAHIER DES CLAUSES TECHNIQUES PARTICULIERES (CCTP)</w:t>
      </w:r>
    </w:p>
    <w:p w14:paraId="6096D71A" w14:textId="77777777" w:rsidR="00A61543" w:rsidRPr="002C50D8" w:rsidRDefault="00A61543">
      <w:pPr>
        <w:pBdr>
          <w:top w:val="single" w:sz="4" w:space="0" w:color="000000"/>
          <w:left w:val="single" w:sz="4" w:space="4" w:color="000000"/>
          <w:bottom w:val="single" w:sz="4" w:space="16" w:color="000000"/>
          <w:right w:val="single" w:sz="4" w:space="4" w:color="000000"/>
        </w:pBdr>
        <w:jc w:val="center"/>
        <w:rPr>
          <w:rFonts w:eastAsia="Calibri" w:cs="Calibri"/>
          <w:b/>
        </w:rPr>
      </w:pPr>
    </w:p>
    <w:p w14:paraId="15C6EBAC" w14:textId="77777777" w:rsidR="00A61543" w:rsidRPr="002C50D8" w:rsidRDefault="00A61543">
      <w:pPr>
        <w:rPr>
          <w:rFonts w:eastAsia="Calibri" w:cs="Calibri"/>
          <w:sz w:val="20"/>
          <w:szCs w:val="20"/>
        </w:rPr>
      </w:pPr>
    </w:p>
    <w:p w14:paraId="0B4BD631" w14:textId="77777777" w:rsidR="00A61543" w:rsidRPr="002C50D8" w:rsidRDefault="00A61543">
      <w:pPr>
        <w:pBdr>
          <w:top w:val="single" w:sz="4" w:space="1" w:color="000000"/>
          <w:left w:val="single" w:sz="4" w:space="4" w:color="000000"/>
          <w:bottom w:val="single" w:sz="4" w:space="1" w:color="000000"/>
          <w:right w:val="single" w:sz="4" w:space="4" w:color="000000"/>
        </w:pBdr>
        <w:jc w:val="left"/>
        <w:rPr>
          <w:rFonts w:eastAsia="Calibri" w:cs="Calibri"/>
          <w:b/>
          <w:sz w:val="32"/>
          <w:szCs w:val="32"/>
        </w:rPr>
      </w:pPr>
    </w:p>
    <w:p w14:paraId="7764CBD2" w14:textId="7BDB59B3" w:rsidR="00A61543" w:rsidRPr="002C50D8" w:rsidRDefault="00461E6A">
      <w:pPr>
        <w:pBdr>
          <w:top w:val="single" w:sz="4" w:space="1" w:color="000000"/>
          <w:left w:val="single" w:sz="4" w:space="4" w:color="000000"/>
          <w:bottom w:val="single" w:sz="4" w:space="1" w:color="000000"/>
          <w:right w:val="single" w:sz="4" w:space="4" w:color="000000"/>
        </w:pBdr>
        <w:jc w:val="center"/>
        <w:rPr>
          <w:rFonts w:eastAsia="Calibri" w:cs="Calibri"/>
          <w:b/>
          <w:sz w:val="32"/>
          <w:szCs w:val="32"/>
        </w:rPr>
      </w:pPr>
      <w:r w:rsidRPr="002C50D8">
        <w:rPr>
          <w:rFonts w:eastAsia="Calibri" w:cs="Calibri"/>
          <w:b/>
          <w:sz w:val="32"/>
          <w:szCs w:val="32"/>
        </w:rPr>
        <w:t>Evaluation du programme AdaptAction</w:t>
      </w:r>
      <w:r w:rsidR="00AE2B7E">
        <w:rPr>
          <w:rFonts w:eastAsia="Calibri" w:cs="Calibri"/>
          <w:b/>
          <w:sz w:val="32"/>
          <w:szCs w:val="32"/>
        </w:rPr>
        <w:t xml:space="preserve"> de l’Agence Française de Développement</w:t>
      </w:r>
    </w:p>
    <w:p w14:paraId="70EC3611" w14:textId="77777777" w:rsidR="00A61543" w:rsidRPr="002C50D8" w:rsidRDefault="00A61543">
      <w:pPr>
        <w:pBdr>
          <w:top w:val="single" w:sz="4" w:space="1" w:color="000000"/>
          <w:left w:val="single" w:sz="4" w:space="4" w:color="000000"/>
          <w:bottom w:val="single" w:sz="4" w:space="1" w:color="000000"/>
          <w:right w:val="single" w:sz="4" w:space="4" w:color="000000"/>
        </w:pBdr>
        <w:jc w:val="center"/>
        <w:rPr>
          <w:rFonts w:eastAsia="Calibri" w:cs="Calibri"/>
          <w:b/>
          <w:sz w:val="14"/>
          <w:szCs w:val="14"/>
        </w:rPr>
      </w:pPr>
    </w:p>
    <w:p w14:paraId="30E310E7" w14:textId="77777777" w:rsidR="00A61543" w:rsidRPr="002C50D8" w:rsidRDefault="00A61543">
      <w:pPr>
        <w:pBdr>
          <w:top w:val="single" w:sz="4" w:space="1" w:color="000000"/>
          <w:left w:val="single" w:sz="4" w:space="4" w:color="000000"/>
          <w:bottom w:val="single" w:sz="4" w:space="1" w:color="000000"/>
          <w:right w:val="single" w:sz="4" w:space="4" w:color="000000"/>
        </w:pBdr>
        <w:jc w:val="center"/>
        <w:rPr>
          <w:rFonts w:eastAsia="Calibri" w:cs="Calibri"/>
          <w:b/>
          <w:sz w:val="32"/>
          <w:szCs w:val="32"/>
        </w:rPr>
      </w:pPr>
    </w:p>
    <w:p w14:paraId="120C48F5" w14:textId="77777777" w:rsidR="00A61543" w:rsidRPr="002C50D8" w:rsidRDefault="00A61543">
      <w:pPr>
        <w:pBdr>
          <w:top w:val="single" w:sz="4" w:space="1" w:color="000000"/>
          <w:left w:val="single" w:sz="4" w:space="4" w:color="000000"/>
          <w:bottom w:val="single" w:sz="4" w:space="1" w:color="000000"/>
          <w:right w:val="single" w:sz="4" w:space="4" w:color="000000"/>
        </w:pBdr>
        <w:ind w:firstLine="708"/>
        <w:jc w:val="center"/>
        <w:rPr>
          <w:rFonts w:eastAsia="Calibri" w:cs="Calibri"/>
          <w:b/>
          <w:sz w:val="32"/>
          <w:szCs w:val="32"/>
        </w:rPr>
      </w:pPr>
    </w:p>
    <w:p w14:paraId="7C57AD13" w14:textId="77777777" w:rsidR="00A61543" w:rsidRPr="002C50D8" w:rsidRDefault="00A61543">
      <w:pPr>
        <w:pBdr>
          <w:top w:val="single" w:sz="4" w:space="1" w:color="000000"/>
          <w:left w:val="single" w:sz="4" w:space="4" w:color="000000"/>
          <w:bottom w:val="single" w:sz="4" w:space="1" w:color="000000"/>
          <w:right w:val="single" w:sz="4" w:space="4" w:color="000000"/>
        </w:pBdr>
        <w:jc w:val="center"/>
        <w:rPr>
          <w:rFonts w:eastAsia="Calibri" w:cs="Calibri"/>
          <w:b/>
          <w:sz w:val="32"/>
          <w:szCs w:val="32"/>
        </w:rPr>
      </w:pPr>
    </w:p>
    <w:p w14:paraId="4A97BC72" w14:textId="77777777" w:rsidR="00A61543" w:rsidRPr="002C50D8" w:rsidRDefault="007F1F62">
      <w:pPr>
        <w:pBdr>
          <w:top w:val="single" w:sz="4" w:space="1" w:color="000000"/>
          <w:left w:val="single" w:sz="4" w:space="4" w:color="000000"/>
          <w:bottom w:val="single" w:sz="4" w:space="1" w:color="000000"/>
          <w:right w:val="single" w:sz="4" w:space="4" w:color="000000"/>
        </w:pBdr>
        <w:jc w:val="center"/>
        <w:rPr>
          <w:rFonts w:eastAsia="Calibri" w:cs="Calibri"/>
          <w:b/>
          <w:sz w:val="32"/>
          <w:szCs w:val="32"/>
        </w:rPr>
      </w:pPr>
      <w:r w:rsidRPr="002C50D8">
        <w:rPr>
          <w:rFonts w:eastAsia="Calibri" w:cs="Calibri"/>
          <w:b/>
          <w:sz w:val="32"/>
          <w:szCs w:val="32"/>
        </w:rPr>
        <w:t xml:space="preserve">Dans le cadre du programme </w:t>
      </w:r>
    </w:p>
    <w:p w14:paraId="3A2535B6" w14:textId="77777777" w:rsidR="00A61543" w:rsidRPr="002C50D8" w:rsidRDefault="00A61543">
      <w:pPr>
        <w:pBdr>
          <w:top w:val="single" w:sz="4" w:space="1" w:color="000000"/>
          <w:left w:val="single" w:sz="4" w:space="4" w:color="000000"/>
          <w:bottom w:val="single" w:sz="4" w:space="1" w:color="000000"/>
          <w:right w:val="single" w:sz="4" w:space="4" w:color="000000"/>
        </w:pBdr>
        <w:jc w:val="center"/>
        <w:rPr>
          <w:rFonts w:eastAsia="Calibri" w:cs="Calibri"/>
          <w:b/>
          <w:sz w:val="32"/>
          <w:szCs w:val="32"/>
        </w:rPr>
      </w:pPr>
    </w:p>
    <w:p w14:paraId="408A47DB" w14:textId="77777777" w:rsidR="00A61543" w:rsidRPr="002C50D8" w:rsidRDefault="007F1F62">
      <w:pPr>
        <w:pBdr>
          <w:top w:val="single" w:sz="4" w:space="1" w:color="000000"/>
          <w:left w:val="single" w:sz="4" w:space="4" w:color="000000"/>
          <w:bottom w:val="single" w:sz="4" w:space="1" w:color="000000"/>
          <w:right w:val="single" w:sz="4" w:space="4" w:color="000000"/>
        </w:pBdr>
        <w:ind w:firstLine="708"/>
        <w:jc w:val="center"/>
        <w:rPr>
          <w:rFonts w:eastAsia="Calibri" w:cs="Calibri"/>
          <w:b/>
          <w:sz w:val="32"/>
          <w:szCs w:val="32"/>
        </w:rPr>
      </w:pPr>
      <w:r w:rsidRPr="002C50D8">
        <w:rPr>
          <w:rFonts w:eastAsia="Calibri" w:cs="Calibri"/>
          <w:b/>
          <w:noProof/>
          <w:sz w:val="72"/>
          <w:szCs w:val="72"/>
        </w:rPr>
        <w:drawing>
          <wp:inline distT="0" distB="0" distL="0" distR="0" wp14:anchorId="79271117" wp14:editId="6AC7A34D">
            <wp:extent cx="3455568" cy="1233836"/>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3455568" cy="1233836"/>
                    </a:xfrm>
                    <a:prstGeom prst="rect">
                      <a:avLst/>
                    </a:prstGeom>
                    <a:ln/>
                  </pic:spPr>
                </pic:pic>
              </a:graphicData>
            </a:graphic>
          </wp:inline>
        </w:drawing>
      </w:r>
    </w:p>
    <w:p w14:paraId="13F37401" w14:textId="77777777" w:rsidR="00A61543" w:rsidRPr="002C50D8" w:rsidRDefault="00A61543">
      <w:pPr>
        <w:pBdr>
          <w:top w:val="single" w:sz="4" w:space="1" w:color="000000"/>
          <w:left w:val="single" w:sz="4" w:space="4" w:color="000000"/>
          <w:bottom w:val="single" w:sz="4" w:space="1" w:color="000000"/>
          <w:right w:val="single" w:sz="4" w:space="4" w:color="000000"/>
        </w:pBdr>
        <w:jc w:val="center"/>
        <w:rPr>
          <w:rFonts w:eastAsia="Calibri" w:cs="Calibri"/>
          <w:b/>
          <w:sz w:val="32"/>
          <w:szCs w:val="32"/>
        </w:rPr>
      </w:pPr>
    </w:p>
    <w:p w14:paraId="7DB5FCDD" w14:textId="77777777" w:rsidR="00A61543" w:rsidRPr="002C50D8" w:rsidRDefault="007F1F62">
      <w:pPr>
        <w:pBdr>
          <w:top w:val="single" w:sz="4" w:space="1" w:color="000000"/>
          <w:left w:val="single" w:sz="4" w:space="4" w:color="000000"/>
          <w:bottom w:val="single" w:sz="4" w:space="1" w:color="000000"/>
          <w:right w:val="single" w:sz="4" w:space="4" w:color="000000"/>
        </w:pBdr>
        <w:jc w:val="center"/>
        <w:rPr>
          <w:rFonts w:eastAsia="Calibri" w:cs="Calibri"/>
          <w:b/>
          <w:sz w:val="32"/>
          <w:szCs w:val="32"/>
        </w:rPr>
      </w:pPr>
      <w:r w:rsidRPr="002C50D8">
        <w:rPr>
          <w:rFonts w:eastAsia="Calibri" w:cs="Calibri"/>
          <w:b/>
          <w:sz w:val="32"/>
          <w:szCs w:val="32"/>
        </w:rPr>
        <w:t>Pour le compte de</w:t>
      </w:r>
    </w:p>
    <w:p w14:paraId="49B29475" w14:textId="77777777" w:rsidR="00A61543" w:rsidRPr="002C50D8" w:rsidRDefault="00A61543">
      <w:pPr>
        <w:pBdr>
          <w:top w:val="single" w:sz="4" w:space="1" w:color="000000"/>
          <w:left w:val="single" w:sz="4" w:space="4" w:color="000000"/>
          <w:bottom w:val="single" w:sz="4" w:space="1" w:color="000000"/>
          <w:right w:val="single" w:sz="4" w:space="4" w:color="000000"/>
        </w:pBdr>
        <w:jc w:val="center"/>
        <w:rPr>
          <w:rFonts w:eastAsia="Calibri" w:cs="Calibri"/>
          <w:b/>
          <w:sz w:val="32"/>
          <w:szCs w:val="32"/>
        </w:rPr>
      </w:pPr>
    </w:p>
    <w:p w14:paraId="62F6352D" w14:textId="77777777" w:rsidR="00A61543" w:rsidRPr="002C50D8" w:rsidRDefault="007F1F62">
      <w:pPr>
        <w:pBdr>
          <w:top w:val="single" w:sz="4" w:space="1" w:color="000000"/>
          <w:left w:val="single" w:sz="4" w:space="4" w:color="000000"/>
          <w:bottom w:val="single" w:sz="4" w:space="1" w:color="000000"/>
          <w:right w:val="single" w:sz="4" w:space="4" w:color="000000"/>
        </w:pBdr>
        <w:spacing w:line="276" w:lineRule="auto"/>
        <w:jc w:val="center"/>
        <w:rPr>
          <w:rFonts w:eastAsia="Calibri" w:cs="Calibri"/>
          <w:sz w:val="28"/>
          <w:szCs w:val="28"/>
        </w:rPr>
      </w:pPr>
      <w:r w:rsidRPr="002C50D8">
        <w:rPr>
          <w:rFonts w:eastAsia="Calibri" w:cs="Calibri"/>
          <w:b/>
          <w:sz w:val="32"/>
          <w:szCs w:val="32"/>
        </w:rPr>
        <w:t>L’AGENCE FRANCAISE DE DEVELOPPEMENT</w:t>
      </w:r>
    </w:p>
    <w:p w14:paraId="1A62F609" w14:textId="36150721" w:rsidR="00A61543" w:rsidRPr="002C50D8" w:rsidRDefault="007F1F62">
      <w:pPr>
        <w:pBdr>
          <w:top w:val="single" w:sz="4" w:space="1" w:color="000000"/>
          <w:left w:val="single" w:sz="4" w:space="4" w:color="000000"/>
          <w:bottom w:val="single" w:sz="4" w:space="1" w:color="000000"/>
          <w:right w:val="single" w:sz="4" w:space="4" w:color="000000"/>
        </w:pBdr>
        <w:ind w:firstLine="708"/>
        <w:jc w:val="center"/>
        <w:rPr>
          <w:rFonts w:eastAsia="Calibri" w:cs="Calibri"/>
          <w:sz w:val="28"/>
          <w:szCs w:val="28"/>
        </w:rPr>
      </w:pPr>
      <w:r w:rsidRPr="002C50D8">
        <w:rPr>
          <w:rFonts w:eastAsia="Calibri" w:cs="Calibri"/>
          <w:sz w:val="28"/>
          <w:szCs w:val="28"/>
        </w:rPr>
        <w:t xml:space="preserve">Référence interne : </w:t>
      </w:r>
      <w:r w:rsidR="00446D44">
        <w:rPr>
          <w:rFonts w:eastAsia="Calibri" w:cs="Calibri"/>
          <w:sz w:val="28"/>
          <w:szCs w:val="28"/>
        </w:rPr>
        <w:t>CLN-2025-0375</w:t>
      </w:r>
    </w:p>
    <w:p w14:paraId="61858651" w14:textId="77777777" w:rsidR="00A61543" w:rsidRPr="002C50D8" w:rsidRDefault="00A61543">
      <w:pPr>
        <w:pBdr>
          <w:top w:val="single" w:sz="4" w:space="1" w:color="000000"/>
          <w:left w:val="single" w:sz="4" w:space="4" w:color="000000"/>
          <w:bottom w:val="single" w:sz="4" w:space="1" w:color="000000"/>
          <w:right w:val="single" w:sz="4" w:space="4" w:color="000000"/>
        </w:pBdr>
        <w:jc w:val="left"/>
        <w:rPr>
          <w:rFonts w:eastAsia="Calibri" w:cs="Calibri"/>
          <w:smallCaps/>
        </w:rPr>
      </w:pPr>
    </w:p>
    <w:p w14:paraId="5A7EC377" w14:textId="77777777" w:rsidR="00A61543" w:rsidRPr="002C50D8" w:rsidRDefault="00A61543">
      <w:pPr>
        <w:pBdr>
          <w:top w:val="single" w:sz="4" w:space="1" w:color="000000"/>
          <w:left w:val="single" w:sz="4" w:space="4" w:color="000000"/>
          <w:bottom w:val="single" w:sz="4" w:space="1" w:color="000000"/>
          <w:right w:val="single" w:sz="4" w:space="4" w:color="000000"/>
        </w:pBdr>
      </w:pPr>
    </w:p>
    <w:p w14:paraId="4C1D979A" w14:textId="77777777" w:rsidR="00A61543" w:rsidRPr="002C50D8" w:rsidRDefault="00A61543"/>
    <w:p w14:paraId="264DD3F3" w14:textId="77777777" w:rsidR="00A61543" w:rsidRPr="002C50D8" w:rsidRDefault="007F1F62">
      <w:pPr>
        <w:rPr>
          <w:rFonts w:eastAsia="Calibri" w:cs="Calibri"/>
          <w:b/>
          <w:sz w:val="24"/>
          <w:szCs w:val="24"/>
          <w:u w:val="single"/>
        </w:rPr>
      </w:pPr>
      <w:r w:rsidRPr="002C50D8">
        <w:rPr>
          <w:rFonts w:eastAsia="Calibri" w:cs="Calibri"/>
          <w:b/>
          <w:sz w:val="24"/>
          <w:szCs w:val="24"/>
          <w:u w:val="single"/>
        </w:rPr>
        <w:t>Pouvoir adjudicateur</w:t>
      </w:r>
    </w:p>
    <w:p w14:paraId="12C8E56D" w14:textId="77777777" w:rsidR="00A61543" w:rsidRPr="002C50D8" w:rsidRDefault="007F1F62">
      <w:pPr>
        <w:rPr>
          <w:rFonts w:eastAsia="Calibri" w:cs="Calibri"/>
          <w:sz w:val="24"/>
          <w:szCs w:val="24"/>
        </w:rPr>
      </w:pPr>
      <w:r w:rsidRPr="002C50D8">
        <w:rPr>
          <w:rFonts w:eastAsia="Calibri" w:cs="Calibri"/>
          <w:sz w:val="24"/>
          <w:szCs w:val="24"/>
        </w:rPr>
        <w:t>Agence Française de Développement, 5, rue Roland Barthes, 75598 Paris Cedex 12-RCS PARIS B 775 665 599- téléphone : 0033 (01). 53. 44. 31. 31</w:t>
      </w:r>
    </w:p>
    <w:p w14:paraId="40163966" w14:textId="77777777" w:rsidR="00A61543" w:rsidRPr="002C50D8" w:rsidRDefault="00A61543"/>
    <w:p w14:paraId="2FA4DDBD" w14:textId="77777777" w:rsidR="00A61543" w:rsidRPr="002C50D8" w:rsidRDefault="00A61543"/>
    <w:p w14:paraId="62DB73C6" w14:textId="77777777" w:rsidR="00A61543" w:rsidRPr="002C50D8" w:rsidRDefault="00A61543"/>
    <w:p w14:paraId="17F56426" w14:textId="77777777" w:rsidR="00A61543" w:rsidRPr="002C50D8" w:rsidRDefault="00A61543"/>
    <w:p w14:paraId="76707506" w14:textId="77777777" w:rsidR="003C2BB3" w:rsidRPr="002C50D8" w:rsidRDefault="003C2BB3">
      <w:r w:rsidRPr="002C50D8">
        <w:br w:type="page"/>
      </w:r>
    </w:p>
    <w:sdt>
      <w:sdtPr>
        <w:id w:val="-416475378"/>
        <w:docPartObj>
          <w:docPartGallery w:val="Table of Contents"/>
          <w:docPartUnique/>
        </w:docPartObj>
      </w:sdtPr>
      <w:sdtEndPr>
        <w:rPr>
          <w:b/>
          <w:bCs/>
        </w:rPr>
      </w:sdtEndPr>
      <w:sdtContent>
        <w:p w14:paraId="10DCACC6" w14:textId="46442A8A" w:rsidR="003C2BB3" w:rsidRPr="002C50D8" w:rsidRDefault="00C22B96" w:rsidP="003C2BB3">
          <w:pPr>
            <w:widowControl w:val="0"/>
            <w:pBdr>
              <w:top w:val="nil"/>
              <w:left w:val="nil"/>
              <w:bottom w:val="nil"/>
              <w:right w:val="nil"/>
              <w:between w:val="nil"/>
            </w:pBdr>
            <w:spacing w:line="276" w:lineRule="auto"/>
            <w:jc w:val="left"/>
            <w:rPr>
              <w:b/>
              <w:bCs/>
              <w:sz w:val="24"/>
              <w:szCs w:val="24"/>
            </w:rPr>
          </w:pPr>
          <w:r w:rsidRPr="002C50D8">
            <w:rPr>
              <w:b/>
              <w:bCs/>
              <w:sz w:val="24"/>
              <w:szCs w:val="24"/>
            </w:rPr>
            <w:t>TABLE DES MATIERES</w:t>
          </w:r>
        </w:p>
        <w:p w14:paraId="540FF17D" w14:textId="041F6419" w:rsidR="00080DCD" w:rsidRDefault="003C2BB3">
          <w:pPr>
            <w:pStyle w:val="TM1"/>
            <w:tabs>
              <w:tab w:val="left" w:pos="1200"/>
              <w:tab w:val="right" w:leader="dot" w:pos="9193"/>
            </w:tabs>
            <w:rPr>
              <w:rFonts w:asciiTheme="minorHAnsi" w:eastAsiaTheme="minorEastAsia" w:hAnsiTheme="minorHAnsi" w:cstheme="minorBidi"/>
              <w:noProof/>
              <w:kern w:val="2"/>
              <w:sz w:val="24"/>
              <w:szCs w:val="24"/>
              <w14:ligatures w14:val="standardContextual"/>
            </w:rPr>
          </w:pPr>
          <w:r w:rsidRPr="002C50D8">
            <w:fldChar w:fldCharType="begin"/>
          </w:r>
          <w:r w:rsidRPr="002C50D8">
            <w:instrText xml:space="preserve"> TOC \o "1-3" \h \z \u </w:instrText>
          </w:r>
          <w:r w:rsidRPr="002C50D8">
            <w:fldChar w:fldCharType="separate"/>
          </w:r>
          <w:hyperlink w:anchor="_Toc211411305" w:history="1">
            <w:r w:rsidR="00080DCD" w:rsidRPr="00273253">
              <w:rPr>
                <w:rStyle w:val="Lienhypertexte"/>
                <w:b/>
                <w:noProof/>
              </w:rPr>
              <w:t>Article 1.</w:t>
            </w:r>
            <w:r w:rsidR="00080DCD">
              <w:rPr>
                <w:rFonts w:asciiTheme="minorHAnsi" w:eastAsiaTheme="minorEastAsia" w:hAnsiTheme="minorHAnsi" w:cstheme="minorBidi"/>
                <w:noProof/>
                <w:kern w:val="2"/>
                <w:sz w:val="24"/>
                <w:szCs w:val="24"/>
                <w14:ligatures w14:val="standardContextual"/>
              </w:rPr>
              <w:tab/>
            </w:r>
            <w:r w:rsidR="00080DCD" w:rsidRPr="00273253">
              <w:rPr>
                <w:rStyle w:val="Lienhypertexte"/>
                <w:b/>
                <w:noProof/>
              </w:rPr>
              <w:t>CONTEXTE GENERAL DE LA MISSION : Le programme AdaptAction</w:t>
            </w:r>
            <w:r w:rsidR="00080DCD">
              <w:rPr>
                <w:noProof/>
                <w:webHidden/>
              </w:rPr>
              <w:tab/>
            </w:r>
            <w:r w:rsidR="00080DCD">
              <w:rPr>
                <w:noProof/>
                <w:webHidden/>
              </w:rPr>
              <w:fldChar w:fldCharType="begin"/>
            </w:r>
            <w:r w:rsidR="00080DCD">
              <w:rPr>
                <w:noProof/>
                <w:webHidden/>
              </w:rPr>
              <w:instrText xml:space="preserve"> PAGEREF _Toc211411305 \h </w:instrText>
            </w:r>
            <w:r w:rsidR="00080DCD">
              <w:rPr>
                <w:noProof/>
                <w:webHidden/>
              </w:rPr>
            </w:r>
            <w:r w:rsidR="00080DCD">
              <w:rPr>
                <w:noProof/>
                <w:webHidden/>
              </w:rPr>
              <w:fldChar w:fldCharType="separate"/>
            </w:r>
            <w:r w:rsidR="008A7D27">
              <w:rPr>
                <w:noProof/>
                <w:webHidden/>
              </w:rPr>
              <w:t>3</w:t>
            </w:r>
            <w:r w:rsidR="00080DCD">
              <w:rPr>
                <w:noProof/>
                <w:webHidden/>
              </w:rPr>
              <w:fldChar w:fldCharType="end"/>
            </w:r>
          </w:hyperlink>
        </w:p>
        <w:p w14:paraId="02B03DFA" w14:textId="36AC2C05" w:rsidR="00080DCD" w:rsidRDefault="008A7D27">
          <w:pPr>
            <w:pStyle w:val="TM2"/>
            <w:tabs>
              <w:tab w:val="left" w:pos="960"/>
              <w:tab w:val="right" w:leader="dot" w:pos="9193"/>
            </w:tabs>
            <w:rPr>
              <w:rFonts w:asciiTheme="minorHAnsi" w:eastAsiaTheme="minorEastAsia" w:hAnsiTheme="minorHAnsi" w:cstheme="minorBidi"/>
              <w:noProof/>
              <w:kern w:val="2"/>
              <w:sz w:val="24"/>
              <w:szCs w:val="24"/>
              <w14:ligatures w14:val="standardContextual"/>
            </w:rPr>
          </w:pPr>
          <w:hyperlink w:anchor="_Toc211411306" w:history="1">
            <w:r w:rsidR="00080DCD" w:rsidRPr="00273253">
              <w:rPr>
                <w:rStyle w:val="Lienhypertexte"/>
                <w:noProof/>
              </w:rPr>
              <w:t>1.1.</w:t>
            </w:r>
            <w:r w:rsidR="00080DCD">
              <w:rPr>
                <w:rFonts w:asciiTheme="minorHAnsi" w:eastAsiaTheme="minorEastAsia" w:hAnsiTheme="minorHAnsi" w:cstheme="minorBidi"/>
                <w:noProof/>
                <w:kern w:val="2"/>
                <w:sz w:val="24"/>
                <w:szCs w:val="24"/>
                <w14:ligatures w14:val="standardContextual"/>
              </w:rPr>
              <w:tab/>
            </w:r>
            <w:r w:rsidR="00080DCD" w:rsidRPr="00273253">
              <w:rPr>
                <w:rStyle w:val="Lienhypertexte"/>
                <w:noProof/>
              </w:rPr>
              <w:t>Présentation de l’AFD</w:t>
            </w:r>
            <w:r w:rsidR="00080DCD">
              <w:rPr>
                <w:noProof/>
                <w:webHidden/>
              </w:rPr>
              <w:tab/>
            </w:r>
            <w:r w:rsidR="00080DCD">
              <w:rPr>
                <w:noProof/>
                <w:webHidden/>
              </w:rPr>
              <w:fldChar w:fldCharType="begin"/>
            </w:r>
            <w:r w:rsidR="00080DCD">
              <w:rPr>
                <w:noProof/>
                <w:webHidden/>
              </w:rPr>
              <w:instrText xml:space="preserve"> PAGEREF _Toc211411306 \h </w:instrText>
            </w:r>
            <w:r w:rsidR="00080DCD">
              <w:rPr>
                <w:noProof/>
                <w:webHidden/>
              </w:rPr>
            </w:r>
            <w:r w:rsidR="00080DCD">
              <w:rPr>
                <w:noProof/>
                <w:webHidden/>
              </w:rPr>
              <w:fldChar w:fldCharType="separate"/>
            </w:r>
            <w:r>
              <w:rPr>
                <w:noProof/>
                <w:webHidden/>
              </w:rPr>
              <w:t>3</w:t>
            </w:r>
            <w:r w:rsidR="00080DCD">
              <w:rPr>
                <w:noProof/>
                <w:webHidden/>
              </w:rPr>
              <w:fldChar w:fldCharType="end"/>
            </w:r>
          </w:hyperlink>
        </w:p>
        <w:p w14:paraId="3E465312" w14:textId="4F6BF73D" w:rsidR="00080DCD" w:rsidRDefault="008A7D27">
          <w:pPr>
            <w:pStyle w:val="TM2"/>
            <w:tabs>
              <w:tab w:val="left" w:pos="960"/>
              <w:tab w:val="right" w:leader="dot" w:pos="9193"/>
            </w:tabs>
            <w:rPr>
              <w:rFonts w:asciiTheme="minorHAnsi" w:eastAsiaTheme="minorEastAsia" w:hAnsiTheme="minorHAnsi" w:cstheme="minorBidi"/>
              <w:noProof/>
              <w:kern w:val="2"/>
              <w:sz w:val="24"/>
              <w:szCs w:val="24"/>
              <w14:ligatures w14:val="standardContextual"/>
            </w:rPr>
          </w:pPr>
          <w:hyperlink w:anchor="_Toc211411307" w:history="1">
            <w:r w:rsidR="00080DCD" w:rsidRPr="00273253">
              <w:rPr>
                <w:rStyle w:val="Lienhypertexte"/>
                <w:noProof/>
              </w:rPr>
              <w:t>1.2.</w:t>
            </w:r>
            <w:r w:rsidR="00080DCD">
              <w:rPr>
                <w:rFonts w:asciiTheme="minorHAnsi" w:eastAsiaTheme="minorEastAsia" w:hAnsiTheme="minorHAnsi" w:cstheme="minorBidi"/>
                <w:noProof/>
                <w:kern w:val="2"/>
                <w:sz w:val="24"/>
                <w:szCs w:val="24"/>
                <w14:ligatures w14:val="standardContextual"/>
              </w:rPr>
              <w:tab/>
            </w:r>
            <w:r w:rsidR="00080DCD" w:rsidRPr="00273253">
              <w:rPr>
                <w:rStyle w:val="Lienhypertexte"/>
                <w:noProof/>
              </w:rPr>
              <w:t>Présentation du Programme AdaptAction</w:t>
            </w:r>
            <w:r w:rsidR="00080DCD">
              <w:rPr>
                <w:noProof/>
                <w:webHidden/>
              </w:rPr>
              <w:tab/>
            </w:r>
            <w:r w:rsidR="00080DCD">
              <w:rPr>
                <w:noProof/>
                <w:webHidden/>
              </w:rPr>
              <w:fldChar w:fldCharType="begin"/>
            </w:r>
            <w:r w:rsidR="00080DCD">
              <w:rPr>
                <w:noProof/>
                <w:webHidden/>
              </w:rPr>
              <w:instrText xml:space="preserve"> PAGEREF _Toc211411307 \h </w:instrText>
            </w:r>
            <w:r w:rsidR="00080DCD">
              <w:rPr>
                <w:noProof/>
                <w:webHidden/>
              </w:rPr>
            </w:r>
            <w:r w:rsidR="00080DCD">
              <w:rPr>
                <w:noProof/>
                <w:webHidden/>
              </w:rPr>
              <w:fldChar w:fldCharType="separate"/>
            </w:r>
            <w:r>
              <w:rPr>
                <w:noProof/>
                <w:webHidden/>
              </w:rPr>
              <w:t>3</w:t>
            </w:r>
            <w:r w:rsidR="00080DCD">
              <w:rPr>
                <w:noProof/>
                <w:webHidden/>
              </w:rPr>
              <w:fldChar w:fldCharType="end"/>
            </w:r>
          </w:hyperlink>
        </w:p>
        <w:p w14:paraId="2AEDBCAC" w14:textId="12F762FB" w:rsidR="00080DCD" w:rsidRDefault="008A7D27">
          <w:pPr>
            <w:pStyle w:val="TM1"/>
            <w:tabs>
              <w:tab w:val="left" w:pos="1200"/>
              <w:tab w:val="right" w:leader="dot" w:pos="9193"/>
            </w:tabs>
            <w:rPr>
              <w:rFonts w:asciiTheme="minorHAnsi" w:eastAsiaTheme="minorEastAsia" w:hAnsiTheme="minorHAnsi" w:cstheme="minorBidi"/>
              <w:noProof/>
              <w:kern w:val="2"/>
              <w:sz w:val="24"/>
              <w:szCs w:val="24"/>
              <w14:ligatures w14:val="standardContextual"/>
            </w:rPr>
          </w:pPr>
          <w:hyperlink w:anchor="_Toc211411308" w:history="1">
            <w:r w:rsidR="00080DCD" w:rsidRPr="00273253">
              <w:rPr>
                <w:rStyle w:val="Lienhypertexte"/>
                <w:b/>
                <w:noProof/>
              </w:rPr>
              <w:t>Article 2.</w:t>
            </w:r>
            <w:r w:rsidR="00080DCD">
              <w:rPr>
                <w:rFonts w:asciiTheme="minorHAnsi" w:eastAsiaTheme="minorEastAsia" w:hAnsiTheme="minorHAnsi" w:cstheme="minorBidi"/>
                <w:noProof/>
                <w:kern w:val="2"/>
                <w:sz w:val="24"/>
                <w:szCs w:val="24"/>
                <w14:ligatures w14:val="standardContextual"/>
              </w:rPr>
              <w:tab/>
            </w:r>
            <w:r w:rsidR="00080DCD" w:rsidRPr="00273253">
              <w:rPr>
                <w:rStyle w:val="Lienhypertexte"/>
                <w:b/>
                <w:noProof/>
              </w:rPr>
              <w:t>OBJET DU MARCHE</w:t>
            </w:r>
            <w:r w:rsidR="00080DCD">
              <w:rPr>
                <w:noProof/>
                <w:webHidden/>
              </w:rPr>
              <w:tab/>
            </w:r>
            <w:r w:rsidR="00080DCD">
              <w:rPr>
                <w:noProof/>
                <w:webHidden/>
              </w:rPr>
              <w:fldChar w:fldCharType="begin"/>
            </w:r>
            <w:r w:rsidR="00080DCD">
              <w:rPr>
                <w:noProof/>
                <w:webHidden/>
              </w:rPr>
              <w:instrText xml:space="preserve"> PAGEREF _Toc211411308 \h </w:instrText>
            </w:r>
            <w:r w:rsidR="00080DCD">
              <w:rPr>
                <w:noProof/>
                <w:webHidden/>
              </w:rPr>
            </w:r>
            <w:r w:rsidR="00080DCD">
              <w:rPr>
                <w:noProof/>
                <w:webHidden/>
              </w:rPr>
              <w:fldChar w:fldCharType="separate"/>
            </w:r>
            <w:r>
              <w:rPr>
                <w:noProof/>
                <w:webHidden/>
              </w:rPr>
              <w:t>8</w:t>
            </w:r>
            <w:r w:rsidR="00080DCD">
              <w:rPr>
                <w:noProof/>
                <w:webHidden/>
              </w:rPr>
              <w:fldChar w:fldCharType="end"/>
            </w:r>
          </w:hyperlink>
        </w:p>
        <w:p w14:paraId="7D6BE8E0" w14:textId="1BDD104F" w:rsidR="00080DCD" w:rsidRDefault="008A7D27">
          <w:pPr>
            <w:pStyle w:val="TM2"/>
            <w:tabs>
              <w:tab w:val="left" w:pos="960"/>
              <w:tab w:val="right" w:leader="dot" w:pos="9193"/>
            </w:tabs>
            <w:rPr>
              <w:rFonts w:asciiTheme="minorHAnsi" w:eastAsiaTheme="minorEastAsia" w:hAnsiTheme="minorHAnsi" w:cstheme="minorBidi"/>
              <w:noProof/>
              <w:kern w:val="2"/>
              <w:sz w:val="24"/>
              <w:szCs w:val="24"/>
              <w14:ligatures w14:val="standardContextual"/>
            </w:rPr>
          </w:pPr>
          <w:hyperlink w:anchor="_Toc211411311" w:history="1">
            <w:r w:rsidR="00080DCD" w:rsidRPr="00273253">
              <w:rPr>
                <w:rStyle w:val="Lienhypertexte"/>
                <w:noProof/>
              </w:rPr>
              <w:t>2.1.</w:t>
            </w:r>
            <w:r w:rsidR="00080DCD">
              <w:rPr>
                <w:rFonts w:asciiTheme="minorHAnsi" w:eastAsiaTheme="minorEastAsia" w:hAnsiTheme="minorHAnsi" w:cstheme="minorBidi"/>
                <w:noProof/>
                <w:kern w:val="2"/>
                <w:sz w:val="24"/>
                <w:szCs w:val="24"/>
                <w14:ligatures w14:val="standardContextual"/>
              </w:rPr>
              <w:tab/>
            </w:r>
            <w:r w:rsidR="00080DCD" w:rsidRPr="00273253">
              <w:rPr>
                <w:rStyle w:val="Lienhypertexte"/>
                <w:noProof/>
              </w:rPr>
              <w:t>OBJECTIFS DE L’EVALUATION</w:t>
            </w:r>
            <w:r w:rsidR="00080DCD">
              <w:rPr>
                <w:noProof/>
                <w:webHidden/>
              </w:rPr>
              <w:tab/>
            </w:r>
            <w:r w:rsidR="00080DCD">
              <w:rPr>
                <w:noProof/>
                <w:webHidden/>
              </w:rPr>
              <w:fldChar w:fldCharType="begin"/>
            </w:r>
            <w:r w:rsidR="00080DCD">
              <w:rPr>
                <w:noProof/>
                <w:webHidden/>
              </w:rPr>
              <w:instrText xml:space="preserve"> PAGEREF _Toc211411311 \h </w:instrText>
            </w:r>
            <w:r w:rsidR="00080DCD">
              <w:rPr>
                <w:noProof/>
                <w:webHidden/>
              </w:rPr>
            </w:r>
            <w:r w:rsidR="00080DCD">
              <w:rPr>
                <w:noProof/>
                <w:webHidden/>
              </w:rPr>
              <w:fldChar w:fldCharType="separate"/>
            </w:r>
            <w:r>
              <w:rPr>
                <w:noProof/>
                <w:webHidden/>
              </w:rPr>
              <w:t>8</w:t>
            </w:r>
            <w:r w:rsidR="00080DCD">
              <w:rPr>
                <w:noProof/>
                <w:webHidden/>
              </w:rPr>
              <w:fldChar w:fldCharType="end"/>
            </w:r>
          </w:hyperlink>
        </w:p>
        <w:p w14:paraId="2FD1C3C6" w14:textId="1D53FC97" w:rsidR="00080DCD" w:rsidRDefault="008A7D27">
          <w:pPr>
            <w:pStyle w:val="TM3"/>
            <w:tabs>
              <w:tab w:val="right" w:leader="dot" w:pos="9193"/>
            </w:tabs>
            <w:rPr>
              <w:rFonts w:asciiTheme="minorHAnsi" w:eastAsiaTheme="minorEastAsia" w:hAnsiTheme="minorHAnsi" w:cstheme="minorBidi"/>
              <w:noProof/>
              <w:kern w:val="2"/>
              <w:sz w:val="24"/>
              <w:szCs w:val="24"/>
              <w14:ligatures w14:val="standardContextual"/>
            </w:rPr>
          </w:pPr>
          <w:hyperlink w:anchor="_Toc211411312" w:history="1">
            <w:r w:rsidR="00080DCD" w:rsidRPr="00273253">
              <w:rPr>
                <w:rStyle w:val="Lienhypertexte"/>
                <w:noProof/>
              </w:rPr>
              <w:t>Objectif général</w:t>
            </w:r>
            <w:r w:rsidR="00080DCD">
              <w:rPr>
                <w:noProof/>
                <w:webHidden/>
              </w:rPr>
              <w:tab/>
            </w:r>
            <w:r w:rsidR="00080DCD">
              <w:rPr>
                <w:noProof/>
                <w:webHidden/>
              </w:rPr>
              <w:fldChar w:fldCharType="begin"/>
            </w:r>
            <w:r w:rsidR="00080DCD">
              <w:rPr>
                <w:noProof/>
                <w:webHidden/>
              </w:rPr>
              <w:instrText xml:space="preserve"> PAGEREF _Toc211411312 \h </w:instrText>
            </w:r>
            <w:r w:rsidR="00080DCD">
              <w:rPr>
                <w:noProof/>
                <w:webHidden/>
              </w:rPr>
            </w:r>
            <w:r w:rsidR="00080DCD">
              <w:rPr>
                <w:noProof/>
                <w:webHidden/>
              </w:rPr>
              <w:fldChar w:fldCharType="separate"/>
            </w:r>
            <w:r>
              <w:rPr>
                <w:noProof/>
                <w:webHidden/>
              </w:rPr>
              <w:t>9</w:t>
            </w:r>
            <w:r w:rsidR="00080DCD">
              <w:rPr>
                <w:noProof/>
                <w:webHidden/>
              </w:rPr>
              <w:fldChar w:fldCharType="end"/>
            </w:r>
          </w:hyperlink>
        </w:p>
        <w:p w14:paraId="1D505A13" w14:textId="44214EFF" w:rsidR="00080DCD" w:rsidRDefault="008A7D27">
          <w:pPr>
            <w:pStyle w:val="TM3"/>
            <w:tabs>
              <w:tab w:val="right" w:leader="dot" w:pos="9193"/>
            </w:tabs>
            <w:rPr>
              <w:rFonts w:asciiTheme="minorHAnsi" w:eastAsiaTheme="minorEastAsia" w:hAnsiTheme="minorHAnsi" w:cstheme="minorBidi"/>
              <w:noProof/>
              <w:kern w:val="2"/>
              <w:sz w:val="24"/>
              <w:szCs w:val="24"/>
              <w14:ligatures w14:val="standardContextual"/>
            </w:rPr>
          </w:pPr>
          <w:hyperlink w:anchor="_Toc211411313" w:history="1">
            <w:r w:rsidR="00080DCD" w:rsidRPr="00273253">
              <w:rPr>
                <w:rStyle w:val="Lienhypertexte"/>
                <w:noProof/>
              </w:rPr>
              <w:t>Objectifs spécifiques</w:t>
            </w:r>
            <w:r w:rsidR="00080DCD">
              <w:rPr>
                <w:noProof/>
                <w:webHidden/>
              </w:rPr>
              <w:tab/>
            </w:r>
            <w:r w:rsidR="00080DCD">
              <w:rPr>
                <w:noProof/>
                <w:webHidden/>
              </w:rPr>
              <w:fldChar w:fldCharType="begin"/>
            </w:r>
            <w:r w:rsidR="00080DCD">
              <w:rPr>
                <w:noProof/>
                <w:webHidden/>
              </w:rPr>
              <w:instrText xml:space="preserve"> PAGEREF _Toc211411313 \h </w:instrText>
            </w:r>
            <w:r w:rsidR="00080DCD">
              <w:rPr>
                <w:noProof/>
                <w:webHidden/>
              </w:rPr>
            </w:r>
            <w:r w:rsidR="00080DCD">
              <w:rPr>
                <w:noProof/>
                <w:webHidden/>
              </w:rPr>
              <w:fldChar w:fldCharType="separate"/>
            </w:r>
            <w:r>
              <w:rPr>
                <w:noProof/>
                <w:webHidden/>
              </w:rPr>
              <w:t>10</w:t>
            </w:r>
            <w:r w:rsidR="00080DCD">
              <w:rPr>
                <w:noProof/>
                <w:webHidden/>
              </w:rPr>
              <w:fldChar w:fldCharType="end"/>
            </w:r>
          </w:hyperlink>
        </w:p>
        <w:p w14:paraId="2E9C47E5" w14:textId="568076BC" w:rsidR="00080DCD" w:rsidRDefault="008A7D27">
          <w:pPr>
            <w:pStyle w:val="TM1"/>
            <w:tabs>
              <w:tab w:val="left" w:pos="1200"/>
              <w:tab w:val="right" w:leader="dot" w:pos="9193"/>
            </w:tabs>
            <w:rPr>
              <w:rFonts w:asciiTheme="minorHAnsi" w:eastAsiaTheme="minorEastAsia" w:hAnsiTheme="minorHAnsi" w:cstheme="minorBidi"/>
              <w:noProof/>
              <w:kern w:val="2"/>
              <w:sz w:val="24"/>
              <w:szCs w:val="24"/>
              <w14:ligatures w14:val="standardContextual"/>
            </w:rPr>
          </w:pPr>
          <w:hyperlink w:anchor="_Toc211411314" w:history="1">
            <w:r w:rsidR="00080DCD" w:rsidRPr="00273253">
              <w:rPr>
                <w:rStyle w:val="Lienhypertexte"/>
                <w:b/>
                <w:noProof/>
              </w:rPr>
              <w:t>Article 3.</w:t>
            </w:r>
            <w:r w:rsidR="00080DCD">
              <w:rPr>
                <w:rFonts w:asciiTheme="minorHAnsi" w:eastAsiaTheme="minorEastAsia" w:hAnsiTheme="minorHAnsi" w:cstheme="minorBidi"/>
                <w:noProof/>
                <w:kern w:val="2"/>
                <w:sz w:val="24"/>
                <w:szCs w:val="24"/>
                <w14:ligatures w14:val="standardContextual"/>
              </w:rPr>
              <w:tab/>
            </w:r>
            <w:r w:rsidR="00080DCD" w:rsidRPr="00273253">
              <w:rPr>
                <w:rStyle w:val="Lienhypertexte"/>
                <w:b/>
                <w:noProof/>
              </w:rPr>
              <w:t>DEFINITION ET NATURE DES PRESTATIONS</w:t>
            </w:r>
            <w:r w:rsidR="00080DCD">
              <w:rPr>
                <w:noProof/>
                <w:webHidden/>
              </w:rPr>
              <w:tab/>
            </w:r>
            <w:r w:rsidR="00080DCD">
              <w:rPr>
                <w:noProof/>
                <w:webHidden/>
              </w:rPr>
              <w:fldChar w:fldCharType="begin"/>
            </w:r>
            <w:r w:rsidR="00080DCD">
              <w:rPr>
                <w:noProof/>
                <w:webHidden/>
              </w:rPr>
              <w:instrText xml:space="preserve"> PAGEREF _Toc211411314 \h </w:instrText>
            </w:r>
            <w:r w:rsidR="00080DCD">
              <w:rPr>
                <w:noProof/>
                <w:webHidden/>
              </w:rPr>
            </w:r>
            <w:r w:rsidR="00080DCD">
              <w:rPr>
                <w:noProof/>
                <w:webHidden/>
              </w:rPr>
              <w:fldChar w:fldCharType="separate"/>
            </w:r>
            <w:r>
              <w:rPr>
                <w:noProof/>
                <w:webHidden/>
              </w:rPr>
              <w:t>10</w:t>
            </w:r>
            <w:r w:rsidR="00080DCD">
              <w:rPr>
                <w:noProof/>
                <w:webHidden/>
              </w:rPr>
              <w:fldChar w:fldCharType="end"/>
            </w:r>
          </w:hyperlink>
        </w:p>
        <w:p w14:paraId="3C7EF07C" w14:textId="5D30D4DE" w:rsidR="00080DCD" w:rsidRDefault="008A7D27">
          <w:pPr>
            <w:pStyle w:val="TM2"/>
            <w:tabs>
              <w:tab w:val="left" w:pos="960"/>
              <w:tab w:val="right" w:leader="dot" w:pos="9193"/>
            </w:tabs>
            <w:rPr>
              <w:rFonts w:asciiTheme="minorHAnsi" w:eastAsiaTheme="minorEastAsia" w:hAnsiTheme="minorHAnsi" w:cstheme="minorBidi"/>
              <w:noProof/>
              <w:kern w:val="2"/>
              <w:sz w:val="24"/>
              <w:szCs w:val="24"/>
              <w14:ligatures w14:val="standardContextual"/>
            </w:rPr>
          </w:pPr>
          <w:hyperlink w:anchor="_Toc211411315" w:history="1">
            <w:r w:rsidR="00080DCD" w:rsidRPr="00273253">
              <w:rPr>
                <w:rStyle w:val="Lienhypertexte"/>
                <w:noProof/>
              </w:rPr>
              <w:t>3.1.</w:t>
            </w:r>
            <w:r w:rsidR="00080DCD">
              <w:rPr>
                <w:rFonts w:asciiTheme="minorHAnsi" w:eastAsiaTheme="minorEastAsia" w:hAnsiTheme="minorHAnsi" w:cstheme="minorBidi"/>
                <w:noProof/>
                <w:kern w:val="2"/>
                <w:sz w:val="24"/>
                <w:szCs w:val="24"/>
                <w14:ligatures w14:val="standardContextual"/>
              </w:rPr>
              <w:tab/>
            </w:r>
            <w:r w:rsidR="00080DCD" w:rsidRPr="00273253">
              <w:rPr>
                <w:rStyle w:val="Lienhypertexte"/>
                <w:noProof/>
              </w:rPr>
              <w:t>Cadrage de la mission :  Echelle et périmètre de l’analyse</w:t>
            </w:r>
            <w:r w:rsidR="00080DCD">
              <w:rPr>
                <w:noProof/>
                <w:webHidden/>
              </w:rPr>
              <w:tab/>
            </w:r>
            <w:r w:rsidR="00080DCD">
              <w:rPr>
                <w:noProof/>
                <w:webHidden/>
              </w:rPr>
              <w:fldChar w:fldCharType="begin"/>
            </w:r>
            <w:r w:rsidR="00080DCD">
              <w:rPr>
                <w:noProof/>
                <w:webHidden/>
              </w:rPr>
              <w:instrText xml:space="preserve"> PAGEREF _Toc211411315 \h </w:instrText>
            </w:r>
            <w:r w:rsidR="00080DCD">
              <w:rPr>
                <w:noProof/>
                <w:webHidden/>
              </w:rPr>
            </w:r>
            <w:r w:rsidR="00080DCD">
              <w:rPr>
                <w:noProof/>
                <w:webHidden/>
              </w:rPr>
              <w:fldChar w:fldCharType="separate"/>
            </w:r>
            <w:r>
              <w:rPr>
                <w:noProof/>
                <w:webHidden/>
              </w:rPr>
              <w:t>11</w:t>
            </w:r>
            <w:r w:rsidR="00080DCD">
              <w:rPr>
                <w:noProof/>
                <w:webHidden/>
              </w:rPr>
              <w:fldChar w:fldCharType="end"/>
            </w:r>
          </w:hyperlink>
        </w:p>
        <w:p w14:paraId="6CDCAC25" w14:textId="37BEA09E" w:rsidR="00080DCD" w:rsidRDefault="008A7D27">
          <w:pPr>
            <w:pStyle w:val="TM2"/>
            <w:tabs>
              <w:tab w:val="left" w:pos="960"/>
              <w:tab w:val="right" w:leader="dot" w:pos="9193"/>
            </w:tabs>
            <w:rPr>
              <w:rFonts w:asciiTheme="minorHAnsi" w:eastAsiaTheme="minorEastAsia" w:hAnsiTheme="minorHAnsi" w:cstheme="minorBidi"/>
              <w:noProof/>
              <w:kern w:val="2"/>
              <w:sz w:val="24"/>
              <w:szCs w:val="24"/>
              <w14:ligatures w14:val="standardContextual"/>
            </w:rPr>
          </w:pPr>
          <w:hyperlink w:anchor="_Toc211411316" w:history="1">
            <w:r w:rsidR="00080DCD" w:rsidRPr="00273253">
              <w:rPr>
                <w:rStyle w:val="Lienhypertexte"/>
                <w:noProof/>
              </w:rPr>
              <w:t>3.2.</w:t>
            </w:r>
            <w:r w:rsidR="00080DCD">
              <w:rPr>
                <w:rFonts w:asciiTheme="minorHAnsi" w:eastAsiaTheme="minorEastAsia" w:hAnsiTheme="minorHAnsi" w:cstheme="minorBidi"/>
                <w:noProof/>
                <w:kern w:val="2"/>
                <w:sz w:val="24"/>
                <w:szCs w:val="24"/>
                <w14:ligatures w14:val="standardContextual"/>
              </w:rPr>
              <w:tab/>
            </w:r>
            <w:r w:rsidR="00080DCD" w:rsidRPr="00273253">
              <w:rPr>
                <w:rStyle w:val="Lienhypertexte"/>
                <w:noProof/>
              </w:rPr>
              <w:t>Phase 1 : Evaluation champs large : Logique d’intervention, gouvernance et pilotage stratégique</w:t>
            </w:r>
            <w:r w:rsidR="00080DCD">
              <w:rPr>
                <w:noProof/>
                <w:webHidden/>
              </w:rPr>
              <w:tab/>
            </w:r>
            <w:r w:rsidR="00080DCD">
              <w:rPr>
                <w:noProof/>
                <w:webHidden/>
              </w:rPr>
              <w:fldChar w:fldCharType="begin"/>
            </w:r>
            <w:r w:rsidR="00080DCD">
              <w:rPr>
                <w:noProof/>
                <w:webHidden/>
              </w:rPr>
              <w:instrText xml:space="preserve"> PAGEREF _Toc211411316 \h </w:instrText>
            </w:r>
            <w:r w:rsidR="00080DCD">
              <w:rPr>
                <w:noProof/>
                <w:webHidden/>
              </w:rPr>
            </w:r>
            <w:r w:rsidR="00080DCD">
              <w:rPr>
                <w:noProof/>
                <w:webHidden/>
              </w:rPr>
              <w:fldChar w:fldCharType="separate"/>
            </w:r>
            <w:r>
              <w:rPr>
                <w:noProof/>
                <w:webHidden/>
              </w:rPr>
              <w:t>12</w:t>
            </w:r>
            <w:r w:rsidR="00080DCD">
              <w:rPr>
                <w:noProof/>
                <w:webHidden/>
              </w:rPr>
              <w:fldChar w:fldCharType="end"/>
            </w:r>
          </w:hyperlink>
        </w:p>
        <w:p w14:paraId="68C5053E" w14:textId="41FD3A2E" w:rsidR="00080DCD" w:rsidRDefault="008A7D27">
          <w:pPr>
            <w:pStyle w:val="TM2"/>
            <w:tabs>
              <w:tab w:val="left" w:pos="960"/>
              <w:tab w:val="right" w:leader="dot" w:pos="9193"/>
            </w:tabs>
            <w:rPr>
              <w:rFonts w:asciiTheme="minorHAnsi" w:eastAsiaTheme="minorEastAsia" w:hAnsiTheme="minorHAnsi" w:cstheme="minorBidi"/>
              <w:noProof/>
              <w:kern w:val="2"/>
              <w:sz w:val="24"/>
              <w:szCs w:val="24"/>
              <w14:ligatures w14:val="standardContextual"/>
            </w:rPr>
          </w:pPr>
          <w:hyperlink w:anchor="_Toc211411317" w:history="1">
            <w:r w:rsidR="00080DCD" w:rsidRPr="00273253">
              <w:rPr>
                <w:rStyle w:val="Lienhypertexte"/>
                <w:noProof/>
              </w:rPr>
              <w:t>3.3.</w:t>
            </w:r>
            <w:r w:rsidR="00080DCD">
              <w:rPr>
                <w:rFonts w:asciiTheme="minorHAnsi" w:eastAsiaTheme="minorEastAsia" w:hAnsiTheme="minorHAnsi" w:cstheme="minorBidi"/>
                <w:noProof/>
                <w:kern w:val="2"/>
                <w:sz w:val="24"/>
                <w:szCs w:val="24"/>
                <w14:ligatures w14:val="standardContextual"/>
              </w:rPr>
              <w:tab/>
            </w:r>
            <w:r w:rsidR="00080DCD" w:rsidRPr="00273253">
              <w:rPr>
                <w:rStyle w:val="Lienhypertexte"/>
                <w:noProof/>
              </w:rPr>
              <w:t>Phase 2 : Le portefeuille de projets AdaptAction</w:t>
            </w:r>
            <w:r w:rsidR="00080DCD">
              <w:rPr>
                <w:noProof/>
                <w:webHidden/>
              </w:rPr>
              <w:tab/>
            </w:r>
            <w:r w:rsidR="00080DCD">
              <w:rPr>
                <w:noProof/>
                <w:webHidden/>
              </w:rPr>
              <w:fldChar w:fldCharType="begin"/>
            </w:r>
            <w:r w:rsidR="00080DCD">
              <w:rPr>
                <w:noProof/>
                <w:webHidden/>
              </w:rPr>
              <w:instrText xml:space="preserve"> PAGEREF _Toc211411317 \h </w:instrText>
            </w:r>
            <w:r w:rsidR="00080DCD">
              <w:rPr>
                <w:noProof/>
                <w:webHidden/>
              </w:rPr>
            </w:r>
            <w:r w:rsidR="00080DCD">
              <w:rPr>
                <w:noProof/>
                <w:webHidden/>
              </w:rPr>
              <w:fldChar w:fldCharType="separate"/>
            </w:r>
            <w:r>
              <w:rPr>
                <w:noProof/>
                <w:webHidden/>
              </w:rPr>
              <w:t>14</w:t>
            </w:r>
            <w:r w:rsidR="00080DCD">
              <w:rPr>
                <w:noProof/>
                <w:webHidden/>
              </w:rPr>
              <w:fldChar w:fldCharType="end"/>
            </w:r>
          </w:hyperlink>
        </w:p>
        <w:p w14:paraId="69671AD3" w14:textId="6965C00C" w:rsidR="00080DCD" w:rsidRDefault="008A7D27">
          <w:pPr>
            <w:pStyle w:val="TM1"/>
            <w:tabs>
              <w:tab w:val="left" w:pos="1200"/>
              <w:tab w:val="right" w:leader="dot" w:pos="9193"/>
            </w:tabs>
            <w:rPr>
              <w:rFonts w:asciiTheme="minorHAnsi" w:eastAsiaTheme="minorEastAsia" w:hAnsiTheme="minorHAnsi" w:cstheme="minorBidi"/>
              <w:noProof/>
              <w:kern w:val="2"/>
              <w:sz w:val="24"/>
              <w:szCs w:val="24"/>
              <w14:ligatures w14:val="standardContextual"/>
            </w:rPr>
          </w:pPr>
          <w:hyperlink w:anchor="_Toc211411318" w:history="1">
            <w:r w:rsidR="00080DCD" w:rsidRPr="00273253">
              <w:rPr>
                <w:rStyle w:val="Lienhypertexte"/>
                <w:b/>
                <w:noProof/>
              </w:rPr>
              <w:t>Article 4.</w:t>
            </w:r>
            <w:r w:rsidR="00080DCD">
              <w:rPr>
                <w:rFonts w:asciiTheme="minorHAnsi" w:eastAsiaTheme="minorEastAsia" w:hAnsiTheme="minorHAnsi" w:cstheme="minorBidi"/>
                <w:noProof/>
                <w:kern w:val="2"/>
                <w:sz w:val="24"/>
                <w:szCs w:val="24"/>
                <w14:ligatures w14:val="standardContextual"/>
              </w:rPr>
              <w:tab/>
            </w:r>
            <w:r w:rsidR="00080DCD" w:rsidRPr="00273253">
              <w:rPr>
                <w:rStyle w:val="Lienhypertexte"/>
                <w:b/>
                <w:noProof/>
              </w:rPr>
              <w:t>Méthodologie</w:t>
            </w:r>
            <w:r w:rsidR="00080DCD">
              <w:rPr>
                <w:noProof/>
                <w:webHidden/>
              </w:rPr>
              <w:tab/>
            </w:r>
            <w:r w:rsidR="00080DCD">
              <w:rPr>
                <w:noProof/>
                <w:webHidden/>
              </w:rPr>
              <w:fldChar w:fldCharType="begin"/>
            </w:r>
            <w:r w:rsidR="00080DCD">
              <w:rPr>
                <w:noProof/>
                <w:webHidden/>
              </w:rPr>
              <w:instrText xml:space="preserve"> PAGEREF _Toc211411318 \h </w:instrText>
            </w:r>
            <w:r w:rsidR="00080DCD">
              <w:rPr>
                <w:noProof/>
                <w:webHidden/>
              </w:rPr>
            </w:r>
            <w:r w:rsidR="00080DCD">
              <w:rPr>
                <w:noProof/>
                <w:webHidden/>
              </w:rPr>
              <w:fldChar w:fldCharType="separate"/>
            </w:r>
            <w:r>
              <w:rPr>
                <w:noProof/>
                <w:webHidden/>
              </w:rPr>
              <w:t>16</w:t>
            </w:r>
            <w:r w:rsidR="00080DCD">
              <w:rPr>
                <w:noProof/>
                <w:webHidden/>
              </w:rPr>
              <w:fldChar w:fldCharType="end"/>
            </w:r>
          </w:hyperlink>
        </w:p>
        <w:p w14:paraId="337D01CC" w14:textId="3F465AD1" w:rsidR="00080DCD" w:rsidRDefault="008A7D27">
          <w:pPr>
            <w:pStyle w:val="TM2"/>
            <w:tabs>
              <w:tab w:val="left" w:pos="960"/>
              <w:tab w:val="right" w:leader="dot" w:pos="9193"/>
            </w:tabs>
            <w:rPr>
              <w:rFonts w:asciiTheme="minorHAnsi" w:eastAsiaTheme="minorEastAsia" w:hAnsiTheme="minorHAnsi" w:cstheme="minorBidi"/>
              <w:noProof/>
              <w:kern w:val="2"/>
              <w:sz w:val="24"/>
              <w:szCs w:val="24"/>
              <w14:ligatures w14:val="standardContextual"/>
            </w:rPr>
          </w:pPr>
          <w:hyperlink w:anchor="_Toc211411321" w:history="1">
            <w:r w:rsidR="00080DCD" w:rsidRPr="00273253">
              <w:rPr>
                <w:rStyle w:val="Lienhypertexte"/>
                <w:bCs/>
                <w:noProof/>
              </w:rPr>
              <w:t>4.1.</w:t>
            </w:r>
            <w:r w:rsidR="00080DCD">
              <w:rPr>
                <w:rFonts w:asciiTheme="minorHAnsi" w:eastAsiaTheme="minorEastAsia" w:hAnsiTheme="minorHAnsi" w:cstheme="minorBidi"/>
                <w:noProof/>
                <w:kern w:val="2"/>
                <w:sz w:val="24"/>
                <w:szCs w:val="24"/>
                <w14:ligatures w14:val="standardContextual"/>
              </w:rPr>
              <w:tab/>
            </w:r>
            <w:r w:rsidR="00080DCD" w:rsidRPr="00273253">
              <w:rPr>
                <w:rStyle w:val="Lienhypertexte"/>
                <w:bCs/>
                <w:noProof/>
              </w:rPr>
              <w:t>Phase de Cadrage</w:t>
            </w:r>
            <w:r w:rsidR="00080DCD">
              <w:rPr>
                <w:noProof/>
                <w:webHidden/>
              </w:rPr>
              <w:tab/>
            </w:r>
            <w:r w:rsidR="00080DCD">
              <w:rPr>
                <w:noProof/>
                <w:webHidden/>
              </w:rPr>
              <w:fldChar w:fldCharType="begin"/>
            </w:r>
            <w:r w:rsidR="00080DCD">
              <w:rPr>
                <w:noProof/>
                <w:webHidden/>
              </w:rPr>
              <w:instrText xml:space="preserve"> PAGEREF _Toc211411321 \h </w:instrText>
            </w:r>
            <w:r w:rsidR="00080DCD">
              <w:rPr>
                <w:noProof/>
                <w:webHidden/>
              </w:rPr>
            </w:r>
            <w:r w:rsidR="00080DCD">
              <w:rPr>
                <w:noProof/>
                <w:webHidden/>
              </w:rPr>
              <w:fldChar w:fldCharType="separate"/>
            </w:r>
            <w:r>
              <w:rPr>
                <w:noProof/>
                <w:webHidden/>
              </w:rPr>
              <w:t>16</w:t>
            </w:r>
            <w:r w:rsidR="00080DCD">
              <w:rPr>
                <w:noProof/>
                <w:webHidden/>
              </w:rPr>
              <w:fldChar w:fldCharType="end"/>
            </w:r>
          </w:hyperlink>
        </w:p>
        <w:p w14:paraId="5DBAAD39" w14:textId="4B131339" w:rsidR="00080DCD" w:rsidRDefault="008A7D27">
          <w:pPr>
            <w:pStyle w:val="TM2"/>
            <w:tabs>
              <w:tab w:val="left" w:pos="960"/>
              <w:tab w:val="right" w:leader="dot" w:pos="9193"/>
            </w:tabs>
            <w:rPr>
              <w:rFonts w:asciiTheme="minorHAnsi" w:eastAsiaTheme="minorEastAsia" w:hAnsiTheme="minorHAnsi" w:cstheme="minorBidi"/>
              <w:noProof/>
              <w:kern w:val="2"/>
              <w:sz w:val="24"/>
              <w:szCs w:val="24"/>
              <w14:ligatures w14:val="standardContextual"/>
            </w:rPr>
          </w:pPr>
          <w:hyperlink w:anchor="_Toc211411322" w:history="1">
            <w:r w:rsidR="00080DCD" w:rsidRPr="00273253">
              <w:rPr>
                <w:rStyle w:val="Lienhypertexte"/>
                <w:bCs/>
                <w:noProof/>
              </w:rPr>
              <w:t>4.2.</w:t>
            </w:r>
            <w:r w:rsidR="00080DCD">
              <w:rPr>
                <w:rFonts w:asciiTheme="minorHAnsi" w:eastAsiaTheme="minorEastAsia" w:hAnsiTheme="minorHAnsi" w:cstheme="minorBidi"/>
                <w:noProof/>
                <w:kern w:val="2"/>
                <w:sz w:val="24"/>
                <w:szCs w:val="24"/>
                <w14:ligatures w14:val="standardContextual"/>
              </w:rPr>
              <w:tab/>
            </w:r>
            <w:r w:rsidR="00080DCD" w:rsidRPr="00273253">
              <w:rPr>
                <w:rStyle w:val="Lienhypertexte"/>
                <w:bCs/>
                <w:noProof/>
              </w:rPr>
              <w:t xml:space="preserve">Phase 1 : Evaluation champs large : </w:t>
            </w:r>
            <w:r w:rsidR="00080DCD" w:rsidRPr="00273253">
              <w:rPr>
                <w:rStyle w:val="Lienhypertexte"/>
                <w:noProof/>
              </w:rPr>
              <w:t>Logique d’intervention, gouvernance et pilotage stratégique</w:t>
            </w:r>
            <w:r w:rsidR="00080DCD">
              <w:rPr>
                <w:noProof/>
                <w:webHidden/>
              </w:rPr>
              <w:tab/>
            </w:r>
            <w:r w:rsidR="00080DCD">
              <w:rPr>
                <w:noProof/>
                <w:webHidden/>
              </w:rPr>
              <w:fldChar w:fldCharType="begin"/>
            </w:r>
            <w:r w:rsidR="00080DCD">
              <w:rPr>
                <w:noProof/>
                <w:webHidden/>
              </w:rPr>
              <w:instrText xml:space="preserve"> PAGEREF _Toc211411322 \h </w:instrText>
            </w:r>
            <w:r w:rsidR="00080DCD">
              <w:rPr>
                <w:noProof/>
                <w:webHidden/>
              </w:rPr>
            </w:r>
            <w:r w:rsidR="00080DCD">
              <w:rPr>
                <w:noProof/>
                <w:webHidden/>
              </w:rPr>
              <w:fldChar w:fldCharType="separate"/>
            </w:r>
            <w:r>
              <w:rPr>
                <w:noProof/>
                <w:webHidden/>
              </w:rPr>
              <w:t>16</w:t>
            </w:r>
            <w:r w:rsidR="00080DCD">
              <w:rPr>
                <w:noProof/>
                <w:webHidden/>
              </w:rPr>
              <w:fldChar w:fldCharType="end"/>
            </w:r>
          </w:hyperlink>
        </w:p>
        <w:p w14:paraId="5D9453CC" w14:textId="52FF48AF" w:rsidR="00080DCD" w:rsidRDefault="008A7D27">
          <w:pPr>
            <w:pStyle w:val="TM2"/>
            <w:tabs>
              <w:tab w:val="left" w:pos="960"/>
              <w:tab w:val="right" w:leader="dot" w:pos="9193"/>
            </w:tabs>
            <w:rPr>
              <w:rFonts w:asciiTheme="minorHAnsi" w:eastAsiaTheme="minorEastAsia" w:hAnsiTheme="minorHAnsi" w:cstheme="minorBidi"/>
              <w:noProof/>
              <w:kern w:val="2"/>
              <w:sz w:val="24"/>
              <w:szCs w:val="24"/>
              <w14:ligatures w14:val="standardContextual"/>
            </w:rPr>
          </w:pPr>
          <w:hyperlink w:anchor="_Toc211411323" w:history="1">
            <w:r w:rsidR="00080DCD" w:rsidRPr="00273253">
              <w:rPr>
                <w:rStyle w:val="Lienhypertexte"/>
                <w:noProof/>
              </w:rPr>
              <w:t>3.4.</w:t>
            </w:r>
            <w:r w:rsidR="00080DCD">
              <w:rPr>
                <w:rFonts w:asciiTheme="minorHAnsi" w:eastAsiaTheme="minorEastAsia" w:hAnsiTheme="minorHAnsi" w:cstheme="minorBidi"/>
                <w:noProof/>
                <w:kern w:val="2"/>
                <w:sz w:val="24"/>
                <w:szCs w:val="24"/>
                <w14:ligatures w14:val="standardContextual"/>
              </w:rPr>
              <w:tab/>
            </w:r>
            <w:r w:rsidR="00080DCD" w:rsidRPr="00273253">
              <w:rPr>
                <w:rStyle w:val="Lienhypertexte"/>
                <w:noProof/>
              </w:rPr>
              <w:t>Phase 2 : Le portefeuille de projets AdaptAction</w:t>
            </w:r>
            <w:r w:rsidR="00080DCD">
              <w:rPr>
                <w:noProof/>
                <w:webHidden/>
              </w:rPr>
              <w:tab/>
            </w:r>
            <w:r w:rsidR="00080DCD">
              <w:rPr>
                <w:noProof/>
                <w:webHidden/>
              </w:rPr>
              <w:fldChar w:fldCharType="begin"/>
            </w:r>
            <w:r w:rsidR="00080DCD">
              <w:rPr>
                <w:noProof/>
                <w:webHidden/>
              </w:rPr>
              <w:instrText xml:space="preserve"> PAGEREF _Toc211411323 \h </w:instrText>
            </w:r>
            <w:r w:rsidR="00080DCD">
              <w:rPr>
                <w:noProof/>
                <w:webHidden/>
              </w:rPr>
            </w:r>
            <w:r w:rsidR="00080DCD">
              <w:rPr>
                <w:noProof/>
                <w:webHidden/>
              </w:rPr>
              <w:fldChar w:fldCharType="separate"/>
            </w:r>
            <w:r>
              <w:rPr>
                <w:noProof/>
                <w:webHidden/>
              </w:rPr>
              <w:t>17</w:t>
            </w:r>
            <w:r w:rsidR="00080DCD">
              <w:rPr>
                <w:noProof/>
                <w:webHidden/>
              </w:rPr>
              <w:fldChar w:fldCharType="end"/>
            </w:r>
          </w:hyperlink>
        </w:p>
        <w:p w14:paraId="1E5FAF20" w14:textId="234FF9CC" w:rsidR="00080DCD" w:rsidRDefault="008A7D27">
          <w:pPr>
            <w:pStyle w:val="TM2"/>
            <w:tabs>
              <w:tab w:val="left" w:pos="960"/>
              <w:tab w:val="right" w:leader="dot" w:pos="9193"/>
            </w:tabs>
            <w:rPr>
              <w:rFonts w:asciiTheme="minorHAnsi" w:eastAsiaTheme="minorEastAsia" w:hAnsiTheme="minorHAnsi" w:cstheme="minorBidi"/>
              <w:noProof/>
              <w:kern w:val="2"/>
              <w:sz w:val="24"/>
              <w:szCs w:val="24"/>
              <w14:ligatures w14:val="standardContextual"/>
            </w:rPr>
          </w:pPr>
          <w:hyperlink w:anchor="_Toc211411324" w:history="1">
            <w:r w:rsidR="00080DCD" w:rsidRPr="00273253">
              <w:rPr>
                <w:rStyle w:val="Lienhypertexte"/>
                <w:bCs/>
                <w:noProof/>
              </w:rPr>
              <w:t>4.3.</w:t>
            </w:r>
            <w:r w:rsidR="00080DCD">
              <w:rPr>
                <w:rFonts w:asciiTheme="minorHAnsi" w:eastAsiaTheme="minorEastAsia" w:hAnsiTheme="minorHAnsi" w:cstheme="minorBidi"/>
                <w:noProof/>
                <w:kern w:val="2"/>
                <w:sz w:val="24"/>
                <w:szCs w:val="24"/>
                <w14:ligatures w14:val="standardContextual"/>
              </w:rPr>
              <w:tab/>
            </w:r>
            <w:r w:rsidR="00080DCD" w:rsidRPr="00273253">
              <w:rPr>
                <w:rStyle w:val="Lienhypertexte"/>
                <w:bCs/>
                <w:noProof/>
              </w:rPr>
              <w:t>Composante 3 – Finalisation et restitution</w:t>
            </w:r>
            <w:r w:rsidR="00080DCD">
              <w:rPr>
                <w:noProof/>
                <w:webHidden/>
              </w:rPr>
              <w:tab/>
            </w:r>
            <w:r w:rsidR="00080DCD">
              <w:rPr>
                <w:noProof/>
                <w:webHidden/>
              </w:rPr>
              <w:fldChar w:fldCharType="begin"/>
            </w:r>
            <w:r w:rsidR="00080DCD">
              <w:rPr>
                <w:noProof/>
                <w:webHidden/>
              </w:rPr>
              <w:instrText xml:space="preserve"> PAGEREF _Toc211411324 \h </w:instrText>
            </w:r>
            <w:r w:rsidR="00080DCD">
              <w:rPr>
                <w:noProof/>
                <w:webHidden/>
              </w:rPr>
            </w:r>
            <w:r w:rsidR="00080DCD">
              <w:rPr>
                <w:noProof/>
                <w:webHidden/>
              </w:rPr>
              <w:fldChar w:fldCharType="separate"/>
            </w:r>
            <w:r>
              <w:rPr>
                <w:noProof/>
                <w:webHidden/>
              </w:rPr>
              <w:t>17</w:t>
            </w:r>
            <w:r w:rsidR="00080DCD">
              <w:rPr>
                <w:noProof/>
                <w:webHidden/>
              </w:rPr>
              <w:fldChar w:fldCharType="end"/>
            </w:r>
          </w:hyperlink>
        </w:p>
        <w:p w14:paraId="57CE1552" w14:textId="753F758E" w:rsidR="00080DCD" w:rsidRDefault="008A7D27">
          <w:pPr>
            <w:pStyle w:val="TM1"/>
            <w:tabs>
              <w:tab w:val="left" w:pos="1200"/>
              <w:tab w:val="right" w:leader="dot" w:pos="9193"/>
            </w:tabs>
            <w:rPr>
              <w:rFonts w:asciiTheme="minorHAnsi" w:eastAsiaTheme="minorEastAsia" w:hAnsiTheme="minorHAnsi" w:cstheme="minorBidi"/>
              <w:noProof/>
              <w:kern w:val="2"/>
              <w:sz w:val="24"/>
              <w:szCs w:val="24"/>
              <w14:ligatures w14:val="standardContextual"/>
            </w:rPr>
          </w:pPr>
          <w:hyperlink w:anchor="_Toc211411325" w:history="1">
            <w:r w:rsidR="00080DCD" w:rsidRPr="00273253">
              <w:rPr>
                <w:rStyle w:val="Lienhypertexte"/>
                <w:b/>
                <w:noProof/>
              </w:rPr>
              <w:t>Article 5.</w:t>
            </w:r>
            <w:r w:rsidR="00080DCD">
              <w:rPr>
                <w:rFonts w:asciiTheme="minorHAnsi" w:eastAsiaTheme="minorEastAsia" w:hAnsiTheme="minorHAnsi" w:cstheme="minorBidi"/>
                <w:noProof/>
                <w:kern w:val="2"/>
                <w:sz w:val="24"/>
                <w:szCs w:val="24"/>
                <w14:ligatures w14:val="standardContextual"/>
              </w:rPr>
              <w:tab/>
            </w:r>
            <w:r w:rsidR="00080DCD" w:rsidRPr="00273253">
              <w:rPr>
                <w:rStyle w:val="Lienhypertexte"/>
                <w:b/>
                <w:noProof/>
              </w:rPr>
              <w:t>EXPERTISES REQUISES</w:t>
            </w:r>
            <w:r w:rsidR="00080DCD">
              <w:rPr>
                <w:noProof/>
                <w:webHidden/>
              </w:rPr>
              <w:tab/>
            </w:r>
            <w:r w:rsidR="00080DCD">
              <w:rPr>
                <w:noProof/>
                <w:webHidden/>
              </w:rPr>
              <w:fldChar w:fldCharType="begin"/>
            </w:r>
            <w:r w:rsidR="00080DCD">
              <w:rPr>
                <w:noProof/>
                <w:webHidden/>
              </w:rPr>
              <w:instrText xml:space="preserve"> PAGEREF _Toc211411325 \h </w:instrText>
            </w:r>
            <w:r w:rsidR="00080DCD">
              <w:rPr>
                <w:noProof/>
                <w:webHidden/>
              </w:rPr>
            </w:r>
            <w:r w:rsidR="00080DCD">
              <w:rPr>
                <w:noProof/>
                <w:webHidden/>
              </w:rPr>
              <w:fldChar w:fldCharType="separate"/>
            </w:r>
            <w:r>
              <w:rPr>
                <w:noProof/>
                <w:webHidden/>
              </w:rPr>
              <w:t>17</w:t>
            </w:r>
            <w:r w:rsidR="00080DCD">
              <w:rPr>
                <w:noProof/>
                <w:webHidden/>
              </w:rPr>
              <w:fldChar w:fldCharType="end"/>
            </w:r>
          </w:hyperlink>
        </w:p>
        <w:p w14:paraId="1814DB8F" w14:textId="3C187046" w:rsidR="00080DCD" w:rsidRDefault="008A7D27">
          <w:pPr>
            <w:pStyle w:val="TM1"/>
            <w:tabs>
              <w:tab w:val="left" w:pos="1200"/>
              <w:tab w:val="right" w:leader="dot" w:pos="9193"/>
            </w:tabs>
            <w:rPr>
              <w:rFonts w:asciiTheme="minorHAnsi" w:eastAsiaTheme="minorEastAsia" w:hAnsiTheme="minorHAnsi" w:cstheme="minorBidi"/>
              <w:noProof/>
              <w:kern w:val="2"/>
              <w:sz w:val="24"/>
              <w:szCs w:val="24"/>
              <w14:ligatures w14:val="standardContextual"/>
            </w:rPr>
          </w:pPr>
          <w:hyperlink w:anchor="_Toc211411326" w:history="1">
            <w:r w:rsidR="00080DCD" w:rsidRPr="00273253">
              <w:rPr>
                <w:rStyle w:val="Lienhypertexte"/>
                <w:b/>
                <w:bCs/>
                <w:noProof/>
              </w:rPr>
              <w:t>Article 6.</w:t>
            </w:r>
            <w:r w:rsidR="00080DCD">
              <w:rPr>
                <w:rFonts w:asciiTheme="minorHAnsi" w:eastAsiaTheme="minorEastAsia" w:hAnsiTheme="minorHAnsi" w:cstheme="minorBidi"/>
                <w:noProof/>
                <w:kern w:val="2"/>
                <w:sz w:val="24"/>
                <w:szCs w:val="24"/>
                <w14:ligatures w14:val="standardContextual"/>
              </w:rPr>
              <w:tab/>
            </w:r>
            <w:r w:rsidR="00080DCD" w:rsidRPr="00273253">
              <w:rPr>
                <w:rStyle w:val="Lienhypertexte"/>
                <w:b/>
                <w:bCs/>
                <w:noProof/>
              </w:rPr>
              <w:t>LOGISTIQUE ET CALENDRIER D’EXECUTION DU MARCHE</w:t>
            </w:r>
            <w:r w:rsidR="00080DCD">
              <w:rPr>
                <w:noProof/>
                <w:webHidden/>
              </w:rPr>
              <w:tab/>
            </w:r>
            <w:r w:rsidR="00080DCD">
              <w:rPr>
                <w:noProof/>
                <w:webHidden/>
              </w:rPr>
              <w:fldChar w:fldCharType="begin"/>
            </w:r>
            <w:r w:rsidR="00080DCD">
              <w:rPr>
                <w:noProof/>
                <w:webHidden/>
              </w:rPr>
              <w:instrText xml:space="preserve"> PAGEREF _Toc211411326 \h </w:instrText>
            </w:r>
            <w:r w:rsidR="00080DCD">
              <w:rPr>
                <w:noProof/>
                <w:webHidden/>
              </w:rPr>
            </w:r>
            <w:r w:rsidR="00080DCD">
              <w:rPr>
                <w:noProof/>
                <w:webHidden/>
              </w:rPr>
              <w:fldChar w:fldCharType="separate"/>
            </w:r>
            <w:r>
              <w:rPr>
                <w:noProof/>
                <w:webHidden/>
              </w:rPr>
              <w:t>19</w:t>
            </w:r>
            <w:r w:rsidR="00080DCD">
              <w:rPr>
                <w:noProof/>
                <w:webHidden/>
              </w:rPr>
              <w:fldChar w:fldCharType="end"/>
            </w:r>
          </w:hyperlink>
        </w:p>
        <w:p w14:paraId="7337BE95" w14:textId="334D5463" w:rsidR="00080DCD" w:rsidRDefault="008A7D27">
          <w:pPr>
            <w:pStyle w:val="TM2"/>
            <w:tabs>
              <w:tab w:val="left" w:pos="960"/>
              <w:tab w:val="right" w:leader="dot" w:pos="9193"/>
            </w:tabs>
            <w:rPr>
              <w:rFonts w:asciiTheme="minorHAnsi" w:eastAsiaTheme="minorEastAsia" w:hAnsiTheme="minorHAnsi" w:cstheme="minorBidi"/>
              <w:noProof/>
              <w:kern w:val="2"/>
              <w:sz w:val="24"/>
              <w:szCs w:val="24"/>
              <w14:ligatures w14:val="standardContextual"/>
            </w:rPr>
          </w:pPr>
          <w:hyperlink w:anchor="_Toc211411327" w:history="1">
            <w:r w:rsidR="00080DCD" w:rsidRPr="00273253">
              <w:rPr>
                <w:rStyle w:val="Lienhypertexte"/>
                <w:noProof/>
              </w:rPr>
              <w:t>7.1.</w:t>
            </w:r>
            <w:r w:rsidR="00080DCD">
              <w:rPr>
                <w:rFonts w:asciiTheme="minorHAnsi" w:eastAsiaTheme="minorEastAsia" w:hAnsiTheme="minorHAnsi" w:cstheme="minorBidi"/>
                <w:noProof/>
                <w:kern w:val="2"/>
                <w:sz w:val="24"/>
                <w:szCs w:val="24"/>
                <w14:ligatures w14:val="standardContextual"/>
              </w:rPr>
              <w:tab/>
            </w:r>
            <w:r w:rsidR="00080DCD" w:rsidRPr="00273253">
              <w:rPr>
                <w:rStyle w:val="Lienhypertexte"/>
                <w:noProof/>
              </w:rPr>
              <w:t>Suivi des prestations / relations avec le prestataire</w:t>
            </w:r>
            <w:r w:rsidR="00080DCD">
              <w:rPr>
                <w:noProof/>
                <w:webHidden/>
              </w:rPr>
              <w:tab/>
            </w:r>
            <w:r w:rsidR="00080DCD">
              <w:rPr>
                <w:noProof/>
                <w:webHidden/>
              </w:rPr>
              <w:fldChar w:fldCharType="begin"/>
            </w:r>
            <w:r w:rsidR="00080DCD">
              <w:rPr>
                <w:noProof/>
                <w:webHidden/>
              </w:rPr>
              <w:instrText xml:space="preserve"> PAGEREF _Toc211411327 \h </w:instrText>
            </w:r>
            <w:r w:rsidR="00080DCD">
              <w:rPr>
                <w:noProof/>
                <w:webHidden/>
              </w:rPr>
            </w:r>
            <w:r w:rsidR="00080DCD">
              <w:rPr>
                <w:noProof/>
                <w:webHidden/>
              </w:rPr>
              <w:fldChar w:fldCharType="separate"/>
            </w:r>
            <w:r>
              <w:rPr>
                <w:noProof/>
                <w:webHidden/>
              </w:rPr>
              <w:t>19</w:t>
            </w:r>
            <w:r w:rsidR="00080DCD">
              <w:rPr>
                <w:noProof/>
                <w:webHidden/>
              </w:rPr>
              <w:fldChar w:fldCharType="end"/>
            </w:r>
          </w:hyperlink>
        </w:p>
        <w:p w14:paraId="3C975ED4" w14:textId="1834B6F0" w:rsidR="00080DCD" w:rsidRDefault="008A7D27">
          <w:pPr>
            <w:pStyle w:val="TM2"/>
            <w:tabs>
              <w:tab w:val="left" w:pos="960"/>
              <w:tab w:val="right" w:leader="dot" w:pos="9193"/>
            </w:tabs>
            <w:rPr>
              <w:rFonts w:asciiTheme="minorHAnsi" w:eastAsiaTheme="minorEastAsia" w:hAnsiTheme="minorHAnsi" w:cstheme="minorBidi"/>
              <w:noProof/>
              <w:kern w:val="2"/>
              <w:sz w:val="24"/>
              <w:szCs w:val="24"/>
              <w14:ligatures w14:val="standardContextual"/>
            </w:rPr>
          </w:pPr>
          <w:hyperlink w:anchor="_Toc211411328" w:history="1">
            <w:r w:rsidR="00080DCD" w:rsidRPr="00273253">
              <w:rPr>
                <w:rStyle w:val="Lienhypertexte"/>
                <w:noProof/>
              </w:rPr>
              <w:t>7.2.</w:t>
            </w:r>
            <w:r w:rsidR="00080DCD">
              <w:rPr>
                <w:rFonts w:asciiTheme="minorHAnsi" w:eastAsiaTheme="minorEastAsia" w:hAnsiTheme="minorHAnsi" w:cstheme="minorBidi"/>
                <w:noProof/>
                <w:kern w:val="2"/>
                <w:sz w:val="24"/>
                <w:szCs w:val="24"/>
                <w14:ligatures w14:val="standardContextual"/>
              </w:rPr>
              <w:tab/>
            </w:r>
            <w:r w:rsidR="00080DCD" w:rsidRPr="00273253">
              <w:rPr>
                <w:rStyle w:val="Lienhypertexte"/>
                <w:noProof/>
              </w:rPr>
              <w:t>Lieu de déroulement de l’étude</w:t>
            </w:r>
            <w:r w:rsidR="00080DCD">
              <w:rPr>
                <w:noProof/>
                <w:webHidden/>
              </w:rPr>
              <w:tab/>
            </w:r>
            <w:r w:rsidR="00080DCD">
              <w:rPr>
                <w:noProof/>
                <w:webHidden/>
              </w:rPr>
              <w:fldChar w:fldCharType="begin"/>
            </w:r>
            <w:r w:rsidR="00080DCD">
              <w:rPr>
                <w:noProof/>
                <w:webHidden/>
              </w:rPr>
              <w:instrText xml:space="preserve"> PAGEREF _Toc211411328 \h </w:instrText>
            </w:r>
            <w:r w:rsidR="00080DCD">
              <w:rPr>
                <w:noProof/>
                <w:webHidden/>
              </w:rPr>
            </w:r>
            <w:r w:rsidR="00080DCD">
              <w:rPr>
                <w:noProof/>
                <w:webHidden/>
              </w:rPr>
              <w:fldChar w:fldCharType="separate"/>
            </w:r>
            <w:r>
              <w:rPr>
                <w:noProof/>
                <w:webHidden/>
              </w:rPr>
              <w:t>19</w:t>
            </w:r>
            <w:r w:rsidR="00080DCD">
              <w:rPr>
                <w:noProof/>
                <w:webHidden/>
              </w:rPr>
              <w:fldChar w:fldCharType="end"/>
            </w:r>
          </w:hyperlink>
        </w:p>
        <w:p w14:paraId="161DB8DE" w14:textId="6B580D59" w:rsidR="00080DCD" w:rsidRDefault="008A7D27">
          <w:pPr>
            <w:pStyle w:val="TM2"/>
            <w:tabs>
              <w:tab w:val="left" w:pos="960"/>
              <w:tab w:val="right" w:leader="dot" w:pos="9193"/>
            </w:tabs>
            <w:rPr>
              <w:rFonts w:asciiTheme="minorHAnsi" w:eastAsiaTheme="minorEastAsia" w:hAnsiTheme="minorHAnsi" w:cstheme="minorBidi"/>
              <w:noProof/>
              <w:kern w:val="2"/>
              <w:sz w:val="24"/>
              <w:szCs w:val="24"/>
              <w14:ligatures w14:val="standardContextual"/>
            </w:rPr>
          </w:pPr>
          <w:hyperlink w:anchor="_Toc211411329" w:history="1">
            <w:r w:rsidR="00080DCD" w:rsidRPr="00273253">
              <w:rPr>
                <w:rStyle w:val="Lienhypertexte"/>
                <w:noProof/>
              </w:rPr>
              <w:t>7.3.</w:t>
            </w:r>
            <w:r w:rsidR="00080DCD">
              <w:rPr>
                <w:rFonts w:asciiTheme="minorHAnsi" w:eastAsiaTheme="minorEastAsia" w:hAnsiTheme="minorHAnsi" w:cstheme="minorBidi"/>
                <w:noProof/>
                <w:kern w:val="2"/>
                <w:sz w:val="24"/>
                <w:szCs w:val="24"/>
                <w14:ligatures w14:val="standardContextual"/>
              </w:rPr>
              <w:tab/>
            </w:r>
            <w:r w:rsidR="00080DCD" w:rsidRPr="00273253">
              <w:rPr>
                <w:rStyle w:val="Lienhypertexte"/>
                <w:noProof/>
              </w:rPr>
              <w:t>Calendrier prévisionnel des prestations et étendue des services</w:t>
            </w:r>
            <w:r w:rsidR="00080DCD">
              <w:rPr>
                <w:noProof/>
                <w:webHidden/>
              </w:rPr>
              <w:tab/>
            </w:r>
            <w:r w:rsidR="00080DCD">
              <w:rPr>
                <w:noProof/>
                <w:webHidden/>
              </w:rPr>
              <w:fldChar w:fldCharType="begin"/>
            </w:r>
            <w:r w:rsidR="00080DCD">
              <w:rPr>
                <w:noProof/>
                <w:webHidden/>
              </w:rPr>
              <w:instrText xml:space="preserve"> PAGEREF _Toc211411329 \h </w:instrText>
            </w:r>
            <w:r w:rsidR="00080DCD">
              <w:rPr>
                <w:noProof/>
                <w:webHidden/>
              </w:rPr>
            </w:r>
            <w:r w:rsidR="00080DCD">
              <w:rPr>
                <w:noProof/>
                <w:webHidden/>
              </w:rPr>
              <w:fldChar w:fldCharType="separate"/>
            </w:r>
            <w:r>
              <w:rPr>
                <w:noProof/>
                <w:webHidden/>
              </w:rPr>
              <w:t>19</w:t>
            </w:r>
            <w:r w:rsidR="00080DCD">
              <w:rPr>
                <w:noProof/>
                <w:webHidden/>
              </w:rPr>
              <w:fldChar w:fldCharType="end"/>
            </w:r>
          </w:hyperlink>
        </w:p>
        <w:p w14:paraId="0D49EBED" w14:textId="58D8B073" w:rsidR="00080DCD" w:rsidRDefault="008A7D27">
          <w:pPr>
            <w:pStyle w:val="TM2"/>
            <w:tabs>
              <w:tab w:val="left" w:pos="960"/>
              <w:tab w:val="right" w:leader="dot" w:pos="9193"/>
            </w:tabs>
            <w:rPr>
              <w:rFonts w:asciiTheme="minorHAnsi" w:eastAsiaTheme="minorEastAsia" w:hAnsiTheme="minorHAnsi" w:cstheme="minorBidi"/>
              <w:noProof/>
              <w:kern w:val="2"/>
              <w:sz w:val="24"/>
              <w:szCs w:val="24"/>
              <w14:ligatures w14:val="standardContextual"/>
            </w:rPr>
          </w:pPr>
          <w:hyperlink w:anchor="_Toc211411330" w:history="1">
            <w:r w:rsidR="00080DCD" w:rsidRPr="00273253">
              <w:rPr>
                <w:rStyle w:val="Lienhypertexte"/>
                <w:noProof/>
              </w:rPr>
              <w:t>7.4.</w:t>
            </w:r>
            <w:r w:rsidR="00080DCD">
              <w:rPr>
                <w:rFonts w:asciiTheme="minorHAnsi" w:eastAsiaTheme="minorEastAsia" w:hAnsiTheme="minorHAnsi" w:cstheme="minorBidi"/>
                <w:noProof/>
                <w:kern w:val="2"/>
                <w:sz w:val="24"/>
                <w:szCs w:val="24"/>
                <w14:ligatures w14:val="standardContextual"/>
              </w:rPr>
              <w:tab/>
            </w:r>
            <w:r w:rsidR="00080DCD" w:rsidRPr="00273253">
              <w:rPr>
                <w:rStyle w:val="Lienhypertexte"/>
                <w:noProof/>
              </w:rPr>
              <w:t>Etendue des services</w:t>
            </w:r>
            <w:r w:rsidR="00080DCD">
              <w:rPr>
                <w:noProof/>
                <w:webHidden/>
              </w:rPr>
              <w:tab/>
            </w:r>
            <w:r w:rsidR="00080DCD">
              <w:rPr>
                <w:noProof/>
                <w:webHidden/>
              </w:rPr>
              <w:fldChar w:fldCharType="begin"/>
            </w:r>
            <w:r w:rsidR="00080DCD">
              <w:rPr>
                <w:noProof/>
                <w:webHidden/>
              </w:rPr>
              <w:instrText xml:space="preserve"> PAGEREF _Toc211411330 \h </w:instrText>
            </w:r>
            <w:r w:rsidR="00080DCD">
              <w:rPr>
                <w:noProof/>
                <w:webHidden/>
              </w:rPr>
            </w:r>
            <w:r w:rsidR="00080DCD">
              <w:rPr>
                <w:noProof/>
                <w:webHidden/>
              </w:rPr>
              <w:fldChar w:fldCharType="separate"/>
            </w:r>
            <w:r>
              <w:rPr>
                <w:noProof/>
                <w:webHidden/>
              </w:rPr>
              <w:t>20</w:t>
            </w:r>
            <w:r w:rsidR="00080DCD">
              <w:rPr>
                <w:noProof/>
                <w:webHidden/>
              </w:rPr>
              <w:fldChar w:fldCharType="end"/>
            </w:r>
          </w:hyperlink>
        </w:p>
        <w:p w14:paraId="67EC9D51" w14:textId="7A16DAFD" w:rsidR="00080DCD" w:rsidRDefault="008A7D27">
          <w:pPr>
            <w:pStyle w:val="TM1"/>
            <w:tabs>
              <w:tab w:val="left" w:pos="1200"/>
              <w:tab w:val="right" w:leader="dot" w:pos="9193"/>
            </w:tabs>
            <w:rPr>
              <w:rFonts w:asciiTheme="minorHAnsi" w:eastAsiaTheme="minorEastAsia" w:hAnsiTheme="minorHAnsi" w:cstheme="minorBidi"/>
              <w:noProof/>
              <w:kern w:val="2"/>
              <w:sz w:val="24"/>
              <w:szCs w:val="24"/>
              <w14:ligatures w14:val="standardContextual"/>
            </w:rPr>
          </w:pPr>
          <w:hyperlink w:anchor="_Toc211411331" w:history="1">
            <w:r w:rsidR="00080DCD" w:rsidRPr="00273253">
              <w:rPr>
                <w:rStyle w:val="Lienhypertexte"/>
                <w:b/>
                <w:noProof/>
              </w:rPr>
              <w:t>Article 7.</w:t>
            </w:r>
            <w:r w:rsidR="00080DCD">
              <w:rPr>
                <w:rFonts w:asciiTheme="minorHAnsi" w:eastAsiaTheme="minorEastAsia" w:hAnsiTheme="minorHAnsi" w:cstheme="minorBidi"/>
                <w:noProof/>
                <w:kern w:val="2"/>
                <w:sz w:val="24"/>
                <w:szCs w:val="24"/>
                <w14:ligatures w14:val="standardContextual"/>
              </w:rPr>
              <w:tab/>
            </w:r>
            <w:r w:rsidR="00080DCD" w:rsidRPr="00273253">
              <w:rPr>
                <w:rStyle w:val="Lienhypertexte"/>
                <w:b/>
                <w:noProof/>
              </w:rPr>
              <w:t>LANGUE DE TRAVAIL</w:t>
            </w:r>
            <w:r w:rsidR="00080DCD">
              <w:rPr>
                <w:noProof/>
                <w:webHidden/>
              </w:rPr>
              <w:tab/>
            </w:r>
            <w:r w:rsidR="00080DCD">
              <w:rPr>
                <w:noProof/>
                <w:webHidden/>
              </w:rPr>
              <w:fldChar w:fldCharType="begin"/>
            </w:r>
            <w:r w:rsidR="00080DCD">
              <w:rPr>
                <w:noProof/>
                <w:webHidden/>
              </w:rPr>
              <w:instrText xml:space="preserve"> PAGEREF _Toc211411331 \h </w:instrText>
            </w:r>
            <w:r w:rsidR="00080DCD">
              <w:rPr>
                <w:noProof/>
                <w:webHidden/>
              </w:rPr>
            </w:r>
            <w:r w:rsidR="00080DCD">
              <w:rPr>
                <w:noProof/>
                <w:webHidden/>
              </w:rPr>
              <w:fldChar w:fldCharType="separate"/>
            </w:r>
            <w:r>
              <w:rPr>
                <w:noProof/>
                <w:webHidden/>
              </w:rPr>
              <w:t>20</w:t>
            </w:r>
            <w:r w:rsidR="00080DCD">
              <w:rPr>
                <w:noProof/>
                <w:webHidden/>
              </w:rPr>
              <w:fldChar w:fldCharType="end"/>
            </w:r>
          </w:hyperlink>
        </w:p>
        <w:p w14:paraId="7B5C0B6E" w14:textId="692FD8BC" w:rsidR="00080DCD" w:rsidRDefault="008A7D27">
          <w:pPr>
            <w:pStyle w:val="TM1"/>
            <w:tabs>
              <w:tab w:val="left" w:pos="1200"/>
              <w:tab w:val="right" w:leader="dot" w:pos="9193"/>
            </w:tabs>
            <w:rPr>
              <w:rFonts w:asciiTheme="minorHAnsi" w:eastAsiaTheme="minorEastAsia" w:hAnsiTheme="minorHAnsi" w:cstheme="minorBidi"/>
              <w:noProof/>
              <w:kern w:val="2"/>
              <w:sz w:val="24"/>
              <w:szCs w:val="24"/>
              <w14:ligatures w14:val="standardContextual"/>
            </w:rPr>
          </w:pPr>
          <w:hyperlink w:anchor="_Toc211411332" w:history="1">
            <w:r w:rsidR="00080DCD" w:rsidRPr="00273253">
              <w:rPr>
                <w:rStyle w:val="Lienhypertexte"/>
                <w:b/>
                <w:noProof/>
              </w:rPr>
              <w:t>Article 8.</w:t>
            </w:r>
            <w:r w:rsidR="00080DCD">
              <w:rPr>
                <w:rFonts w:asciiTheme="minorHAnsi" w:eastAsiaTheme="minorEastAsia" w:hAnsiTheme="minorHAnsi" w:cstheme="minorBidi"/>
                <w:noProof/>
                <w:kern w:val="2"/>
                <w:sz w:val="24"/>
                <w:szCs w:val="24"/>
                <w14:ligatures w14:val="standardContextual"/>
              </w:rPr>
              <w:tab/>
            </w:r>
            <w:r w:rsidR="00080DCD" w:rsidRPr="00273253">
              <w:rPr>
                <w:rStyle w:val="Lienhypertexte"/>
                <w:b/>
                <w:noProof/>
              </w:rPr>
              <w:t>BUDGET ET MODALITES DE PAIEMENT</w:t>
            </w:r>
            <w:r w:rsidR="00080DCD">
              <w:rPr>
                <w:noProof/>
                <w:webHidden/>
              </w:rPr>
              <w:tab/>
            </w:r>
            <w:r w:rsidR="00080DCD">
              <w:rPr>
                <w:noProof/>
                <w:webHidden/>
              </w:rPr>
              <w:fldChar w:fldCharType="begin"/>
            </w:r>
            <w:r w:rsidR="00080DCD">
              <w:rPr>
                <w:noProof/>
                <w:webHidden/>
              </w:rPr>
              <w:instrText xml:space="preserve"> PAGEREF _Toc211411332 \h </w:instrText>
            </w:r>
            <w:r w:rsidR="00080DCD">
              <w:rPr>
                <w:noProof/>
                <w:webHidden/>
              </w:rPr>
            </w:r>
            <w:r w:rsidR="00080DCD">
              <w:rPr>
                <w:noProof/>
                <w:webHidden/>
              </w:rPr>
              <w:fldChar w:fldCharType="separate"/>
            </w:r>
            <w:r>
              <w:rPr>
                <w:noProof/>
                <w:webHidden/>
              </w:rPr>
              <w:t>20</w:t>
            </w:r>
            <w:r w:rsidR="00080DCD">
              <w:rPr>
                <w:noProof/>
                <w:webHidden/>
              </w:rPr>
              <w:fldChar w:fldCharType="end"/>
            </w:r>
          </w:hyperlink>
        </w:p>
        <w:p w14:paraId="152F8774" w14:textId="24BFCA08" w:rsidR="00080DCD" w:rsidRDefault="008A7D27">
          <w:pPr>
            <w:pStyle w:val="TM2"/>
            <w:tabs>
              <w:tab w:val="left" w:pos="960"/>
              <w:tab w:val="right" w:leader="dot" w:pos="9193"/>
            </w:tabs>
            <w:rPr>
              <w:rFonts w:asciiTheme="minorHAnsi" w:eastAsiaTheme="minorEastAsia" w:hAnsiTheme="minorHAnsi" w:cstheme="minorBidi"/>
              <w:noProof/>
              <w:kern w:val="2"/>
              <w:sz w:val="24"/>
              <w:szCs w:val="24"/>
              <w14:ligatures w14:val="standardContextual"/>
            </w:rPr>
          </w:pPr>
          <w:hyperlink w:anchor="_Toc211411333" w:history="1">
            <w:r w:rsidR="00080DCD" w:rsidRPr="00273253">
              <w:rPr>
                <w:rStyle w:val="Lienhypertexte"/>
                <w:noProof/>
              </w:rPr>
              <w:t>9.1.</w:t>
            </w:r>
            <w:r w:rsidR="00080DCD">
              <w:rPr>
                <w:rFonts w:asciiTheme="minorHAnsi" w:eastAsiaTheme="minorEastAsia" w:hAnsiTheme="minorHAnsi" w:cstheme="minorBidi"/>
                <w:noProof/>
                <w:kern w:val="2"/>
                <w:sz w:val="24"/>
                <w:szCs w:val="24"/>
                <w14:ligatures w14:val="standardContextual"/>
              </w:rPr>
              <w:tab/>
            </w:r>
            <w:r w:rsidR="00080DCD" w:rsidRPr="00273253">
              <w:rPr>
                <w:rStyle w:val="Lienhypertexte"/>
                <w:noProof/>
              </w:rPr>
              <w:t>Offre financière</w:t>
            </w:r>
            <w:r w:rsidR="00080DCD">
              <w:rPr>
                <w:noProof/>
                <w:webHidden/>
              </w:rPr>
              <w:tab/>
            </w:r>
            <w:r w:rsidR="00080DCD">
              <w:rPr>
                <w:noProof/>
                <w:webHidden/>
              </w:rPr>
              <w:fldChar w:fldCharType="begin"/>
            </w:r>
            <w:r w:rsidR="00080DCD">
              <w:rPr>
                <w:noProof/>
                <w:webHidden/>
              </w:rPr>
              <w:instrText xml:space="preserve"> PAGEREF _Toc211411333 \h </w:instrText>
            </w:r>
            <w:r w:rsidR="00080DCD">
              <w:rPr>
                <w:noProof/>
                <w:webHidden/>
              </w:rPr>
            </w:r>
            <w:r w:rsidR="00080DCD">
              <w:rPr>
                <w:noProof/>
                <w:webHidden/>
              </w:rPr>
              <w:fldChar w:fldCharType="separate"/>
            </w:r>
            <w:r>
              <w:rPr>
                <w:noProof/>
                <w:webHidden/>
              </w:rPr>
              <w:t>20</w:t>
            </w:r>
            <w:r w:rsidR="00080DCD">
              <w:rPr>
                <w:noProof/>
                <w:webHidden/>
              </w:rPr>
              <w:fldChar w:fldCharType="end"/>
            </w:r>
          </w:hyperlink>
        </w:p>
        <w:p w14:paraId="5B6C36CB" w14:textId="28D85FB4" w:rsidR="00080DCD" w:rsidRDefault="008A7D27">
          <w:pPr>
            <w:pStyle w:val="TM1"/>
            <w:tabs>
              <w:tab w:val="left" w:pos="1200"/>
              <w:tab w:val="right" w:leader="dot" w:pos="9193"/>
            </w:tabs>
            <w:rPr>
              <w:rFonts w:asciiTheme="minorHAnsi" w:eastAsiaTheme="minorEastAsia" w:hAnsiTheme="minorHAnsi" w:cstheme="minorBidi"/>
              <w:noProof/>
              <w:kern w:val="2"/>
              <w:sz w:val="24"/>
              <w:szCs w:val="24"/>
              <w14:ligatures w14:val="standardContextual"/>
            </w:rPr>
          </w:pPr>
          <w:hyperlink w:anchor="_Toc211411334" w:history="1">
            <w:r w:rsidR="00080DCD" w:rsidRPr="00273253">
              <w:rPr>
                <w:rStyle w:val="Lienhypertexte"/>
                <w:b/>
                <w:noProof/>
              </w:rPr>
              <w:t>Article 9.</w:t>
            </w:r>
            <w:r w:rsidR="00080DCD">
              <w:rPr>
                <w:rFonts w:asciiTheme="minorHAnsi" w:eastAsiaTheme="minorEastAsia" w:hAnsiTheme="minorHAnsi" w:cstheme="minorBidi"/>
                <w:noProof/>
                <w:kern w:val="2"/>
                <w:sz w:val="24"/>
                <w:szCs w:val="24"/>
                <w14:ligatures w14:val="standardContextual"/>
              </w:rPr>
              <w:tab/>
            </w:r>
            <w:r w:rsidR="00080DCD" w:rsidRPr="00273253">
              <w:rPr>
                <w:rStyle w:val="Lienhypertexte"/>
                <w:b/>
                <w:noProof/>
              </w:rPr>
              <w:t>ANNEXES</w:t>
            </w:r>
            <w:r w:rsidR="00080DCD">
              <w:rPr>
                <w:noProof/>
                <w:webHidden/>
              </w:rPr>
              <w:tab/>
            </w:r>
            <w:r w:rsidR="00080DCD">
              <w:rPr>
                <w:noProof/>
                <w:webHidden/>
              </w:rPr>
              <w:fldChar w:fldCharType="begin"/>
            </w:r>
            <w:r w:rsidR="00080DCD">
              <w:rPr>
                <w:noProof/>
                <w:webHidden/>
              </w:rPr>
              <w:instrText xml:space="preserve"> PAGEREF _Toc211411334 \h </w:instrText>
            </w:r>
            <w:r w:rsidR="00080DCD">
              <w:rPr>
                <w:noProof/>
                <w:webHidden/>
              </w:rPr>
            </w:r>
            <w:r w:rsidR="00080DCD">
              <w:rPr>
                <w:noProof/>
                <w:webHidden/>
              </w:rPr>
              <w:fldChar w:fldCharType="separate"/>
            </w:r>
            <w:r>
              <w:rPr>
                <w:noProof/>
                <w:webHidden/>
              </w:rPr>
              <w:t>21</w:t>
            </w:r>
            <w:r w:rsidR="00080DCD">
              <w:rPr>
                <w:noProof/>
                <w:webHidden/>
              </w:rPr>
              <w:fldChar w:fldCharType="end"/>
            </w:r>
          </w:hyperlink>
        </w:p>
        <w:p w14:paraId="7CDCE345" w14:textId="617EF8CA" w:rsidR="003C2BB3" w:rsidRPr="002C50D8" w:rsidRDefault="003C2BB3">
          <w:r w:rsidRPr="002C50D8">
            <w:rPr>
              <w:b/>
              <w:bCs/>
            </w:rPr>
            <w:fldChar w:fldCharType="end"/>
          </w:r>
        </w:p>
      </w:sdtContent>
    </w:sdt>
    <w:p w14:paraId="30723723" w14:textId="35BE9E1D" w:rsidR="00A61543" w:rsidRPr="002C50D8" w:rsidRDefault="00AE2B7E">
      <w:pPr>
        <w:rPr>
          <w:b/>
        </w:rPr>
      </w:pPr>
      <w:r>
        <w:rPr>
          <w:b/>
        </w:rPr>
        <w:br w:type="page"/>
      </w:r>
    </w:p>
    <w:p w14:paraId="3755B232" w14:textId="77777777" w:rsidR="00461E6A" w:rsidRPr="002C50D8" w:rsidRDefault="00461E6A">
      <w:pPr>
        <w:rPr>
          <w:b/>
        </w:rPr>
      </w:pPr>
    </w:p>
    <w:p w14:paraId="43146F0D" w14:textId="77777777" w:rsidR="00461E6A" w:rsidRPr="002C50D8" w:rsidRDefault="00461E6A">
      <w:pPr>
        <w:rPr>
          <w:b/>
        </w:rPr>
      </w:pPr>
    </w:p>
    <w:p w14:paraId="104B6400" w14:textId="5364BDD5" w:rsidR="00A61543" w:rsidRPr="002C50D8" w:rsidRDefault="007F1F62" w:rsidP="00BA25AF">
      <w:pPr>
        <w:pStyle w:val="Titre1"/>
        <w:numPr>
          <w:ilvl w:val="0"/>
          <w:numId w:val="1"/>
        </w:numPr>
        <w:rPr>
          <w:rFonts w:ascii="Roboto" w:hAnsi="Roboto"/>
        </w:rPr>
      </w:pPr>
      <w:bookmarkStart w:id="0" w:name="_Toc211411305"/>
      <w:r w:rsidRPr="002C50D8">
        <w:rPr>
          <w:rFonts w:ascii="Roboto" w:hAnsi="Roboto"/>
          <w:b/>
        </w:rPr>
        <w:t>CONTEXTE GENERAL</w:t>
      </w:r>
      <w:r w:rsidR="00461E6A" w:rsidRPr="002C50D8">
        <w:rPr>
          <w:rFonts w:ascii="Roboto" w:hAnsi="Roboto"/>
          <w:b/>
        </w:rPr>
        <w:t xml:space="preserve"> DE LA MISSION : Le programme AdaptAction</w:t>
      </w:r>
      <w:bookmarkEnd w:id="0"/>
    </w:p>
    <w:p w14:paraId="374813FE" w14:textId="77777777" w:rsidR="00A61543" w:rsidRDefault="00A61543">
      <w:pPr>
        <w:rPr>
          <w:rFonts w:eastAsia="Calibri" w:cs="Calibri"/>
          <w:b/>
        </w:rPr>
      </w:pPr>
    </w:p>
    <w:p w14:paraId="359948A4" w14:textId="77777777" w:rsidR="00AE2B7E" w:rsidRPr="002C50D8" w:rsidRDefault="00AE2B7E">
      <w:pPr>
        <w:rPr>
          <w:rFonts w:eastAsia="Calibri" w:cs="Calibri"/>
          <w:b/>
        </w:rPr>
      </w:pPr>
    </w:p>
    <w:p w14:paraId="7E72B70E" w14:textId="77777777" w:rsidR="008D27DD" w:rsidRPr="002C50D8" w:rsidRDefault="008D27DD" w:rsidP="00BA25AF">
      <w:pPr>
        <w:pStyle w:val="Titre2"/>
        <w:numPr>
          <w:ilvl w:val="1"/>
          <w:numId w:val="8"/>
        </w:numPr>
      </w:pPr>
      <w:bookmarkStart w:id="1" w:name="_uqe1vcoh1l2s" w:colFirst="0" w:colLast="0"/>
      <w:bookmarkStart w:id="2" w:name="_ysr0b9gr230d" w:colFirst="0" w:colLast="0"/>
      <w:bookmarkStart w:id="3" w:name="_Toc211411306"/>
      <w:bookmarkEnd w:id="1"/>
      <w:bookmarkEnd w:id="2"/>
      <w:r w:rsidRPr="002C50D8">
        <w:t>Présentation de l’AFD</w:t>
      </w:r>
      <w:bookmarkEnd w:id="3"/>
    </w:p>
    <w:p w14:paraId="11E596D7" w14:textId="0978DDD6" w:rsidR="008D27DD" w:rsidRPr="002C50D8" w:rsidRDefault="008D27DD" w:rsidP="008D27DD">
      <w:pPr>
        <w:spacing w:before="120" w:after="120"/>
      </w:pPr>
      <w:r w:rsidRPr="002C50D8">
        <w:t>Le groupe Agence française de développement (AFD) est un établissement public qui finance, accompagne et accélère les transitions vers un monde plus juste et durable. Plateforme française d’aide publique au développement et d’investissement</w:t>
      </w:r>
      <w:r w:rsidR="00614FA9">
        <w:t xml:space="preserve"> solidaire et durable</w:t>
      </w:r>
      <w:r w:rsidRPr="002C50D8">
        <w:t xml:space="preserve">, </w:t>
      </w:r>
      <w:r w:rsidR="00614FA9">
        <w:t>le Groupe AFD</w:t>
      </w:r>
      <w:r w:rsidRPr="002C50D8">
        <w:t xml:space="preserve"> construi</w:t>
      </w:r>
      <w:r w:rsidR="00614FA9">
        <w:t>t avec ses</w:t>
      </w:r>
      <w:r w:rsidRPr="002C50D8">
        <w:t xml:space="preserve"> partenaires des solutions partagées, avec et pour les populations du Sud</w:t>
      </w:r>
      <w:r w:rsidR="00614FA9">
        <w:t xml:space="preserve"> en lien avec les priorités définies par la France</w:t>
      </w:r>
      <w:r w:rsidRPr="002C50D8">
        <w:t xml:space="preserve">. Nos équipes sont engagées dans plus de 4 200 projets sur le terrain, dans les Outre-mer et dans plus de 150 pays, pour les biens communs de l’humanité – le climat, la biodiversité, la paix, l’égalité femmes-hommes, l’éducation ou encore la santé. Nous contribuons ainsi à l’engagement de la France et des Français en faveur des Objectifs de développement durable. Pour un monde en commun. Au moyen de subventions, de prêts, de fonds de garantie ou de contrats de désendettement et de développement, l’AFD finance des projets, des programmes et des études et accompagne ses partenaires du Sud dans le renforcement de leurs capacités. </w:t>
      </w:r>
    </w:p>
    <w:p w14:paraId="2FD8683C" w14:textId="77777777" w:rsidR="008D27DD" w:rsidRPr="002C50D8" w:rsidRDefault="008D27DD" w:rsidP="008D27DD">
      <w:pPr>
        <w:spacing w:after="120"/>
      </w:pPr>
      <w:r w:rsidRPr="002C50D8">
        <w:t xml:space="preserve">Sa filiale </w:t>
      </w:r>
      <w:proofErr w:type="spellStart"/>
      <w:r w:rsidRPr="002C50D8">
        <w:t>Proparco</w:t>
      </w:r>
      <w:proofErr w:type="spellEnd"/>
      <w:r w:rsidRPr="002C50D8">
        <w:t xml:space="preserve"> (</w:t>
      </w:r>
      <w:hyperlink r:id="rId10">
        <w:r w:rsidRPr="002C50D8">
          <w:rPr>
            <w:color w:val="0000FF"/>
            <w:u w:val="single"/>
          </w:rPr>
          <w:t>www.proparco.fr</w:t>
        </w:r>
      </w:hyperlink>
      <w:r w:rsidRPr="002C50D8">
        <w:t>) soutient les investissements privés. Dédiée à la mobilisation de l’expertise publique française, Expertise France (</w:t>
      </w:r>
      <w:hyperlink r:id="rId11">
        <w:r w:rsidRPr="002C50D8">
          <w:rPr>
            <w:color w:val="0000FF"/>
            <w:u w:val="single"/>
          </w:rPr>
          <w:t>www.expertisefrance.fr</w:t>
        </w:r>
      </w:hyperlink>
      <w:r w:rsidRPr="002C50D8">
        <w:t xml:space="preserve">) a rejoint le groupe AFD en 2022. L’AFD collabore également avec les réseaux académiques français et internationaux pour alimenter les débats et réflexions prospectives sur le développement. </w:t>
      </w:r>
    </w:p>
    <w:p w14:paraId="4B1BA416" w14:textId="7BEC4878" w:rsidR="008D27DD" w:rsidRDefault="008D27DD" w:rsidP="008D27DD">
      <w:pPr>
        <w:spacing w:after="120"/>
      </w:pPr>
      <w:r w:rsidRPr="002C50D8">
        <w:t xml:space="preserve">L’ensemble des informations relatives à l’AFD, et notamment sa Charte d’Ethique que le prestataire est fortement invité à consulter, sont accessibles sur le lien suivant : </w:t>
      </w:r>
      <w:hyperlink r:id="rId12">
        <w:r w:rsidRPr="002C50D8">
          <w:rPr>
            <w:color w:val="0000FF"/>
            <w:u w:val="single"/>
          </w:rPr>
          <w:t>www.afd.fr</w:t>
        </w:r>
      </w:hyperlink>
      <w:r w:rsidRPr="002C50D8">
        <w:t xml:space="preserve">. </w:t>
      </w:r>
    </w:p>
    <w:p w14:paraId="675E54FB" w14:textId="77777777" w:rsidR="00230D5A" w:rsidRDefault="00230D5A" w:rsidP="008D27DD">
      <w:pPr>
        <w:spacing w:after="120"/>
      </w:pPr>
    </w:p>
    <w:p w14:paraId="49095567" w14:textId="77777777" w:rsidR="00230D5A" w:rsidRDefault="00230D5A" w:rsidP="008D27DD">
      <w:pPr>
        <w:spacing w:after="120"/>
      </w:pPr>
    </w:p>
    <w:p w14:paraId="01F11697" w14:textId="77777777" w:rsidR="008D27DD" w:rsidRDefault="008D27DD" w:rsidP="008D27DD">
      <w:pPr>
        <w:spacing w:after="120"/>
      </w:pPr>
    </w:p>
    <w:p w14:paraId="75416991" w14:textId="54EAB481" w:rsidR="00A61543" w:rsidRPr="002C50D8" w:rsidRDefault="007F1F62" w:rsidP="00BA25AF">
      <w:pPr>
        <w:pStyle w:val="Titre2"/>
        <w:numPr>
          <w:ilvl w:val="1"/>
          <w:numId w:val="8"/>
        </w:numPr>
      </w:pPr>
      <w:bookmarkStart w:id="4" w:name="_Toc211411307"/>
      <w:r w:rsidRPr="002C50D8">
        <w:t>Présentation du Programme AdaptAction</w:t>
      </w:r>
      <w:bookmarkEnd w:id="4"/>
      <w:r w:rsidRPr="002C50D8">
        <w:t xml:space="preserve"> </w:t>
      </w:r>
    </w:p>
    <w:p w14:paraId="675E7ED9" w14:textId="493D95A1" w:rsidR="00FF2EC9" w:rsidRPr="002C50D8" w:rsidRDefault="00FF2EC9" w:rsidP="00FF2EC9">
      <w:pPr>
        <w:spacing w:before="120" w:after="120"/>
        <w:rPr>
          <w:b/>
          <w:bCs/>
        </w:rPr>
      </w:pPr>
      <w:r w:rsidRPr="002C50D8">
        <w:rPr>
          <w:b/>
          <w:bCs/>
        </w:rPr>
        <w:t>1.  Historique et évolution du programme AdaptAction</w:t>
      </w:r>
    </w:p>
    <w:p w14:paraId="54C323F6" w14:textId="77777777" w:rsidR="00173D54" w:rsidRPr="008C4668" w:rsidRDefault="00173D54" w:rsidP="00173D54">
      <w:pPr>
        <w:spacing w:before="120" w:after="120"/>
      </w:pPr>
      <w:r w:rsidRPr="008C4668">
        <w:t>L’AFD a progressivement construit son expertise en matière d’accompagnement à l’adaptation au changement climatique, en s’appuyant sur plusieurs initiatives fondatrices :</w:t>
      </w:r>
    </w:p>
    <w:p w14:paraId="19CBA860" w14:textId="68503819" w:rsidR="00173D54" w:rsidRPr="008C4668" w:rsidRDefault="00173D54" w:rsidP="00BA25AF">
      <w:pPr>
        <w:numPr>
          <w:ilvl w:val="0"/>
          <w:numId w:val="15"/>
        </w:numPr>
        <w:spacing w:before="120" w:after="120"/>
      </w:pPr>
      <w:r w:rsidRPr="008C4668">
        <w:rPr>
          <w:b/>
          <w:bCs/>
        </w:rPr>
        <w:t xml:space="preserve">2012–2017 : </w:t>
      </w:r>
      <w:r w:rsidRPr="008C4668">
        <w:t>L’initiative</w:t>
      </w:r>
      <w:r w:rsidRPr="008C4668">
        <w:rPr>
          <w:b/>
          <w:bCs/>
        </w:rPr>
        <w:t xml:space="preserve"> </w:t>
      </w:r>
      <w:r w:rsidRPr="008C4668">
        <w:t>Africa4Climate cofinancé par l’AFD et le Fonds Français pour l’Environnement Mondial (FFEM), et mis en œuvre par Expertise France, a accompagné quatre pays d’Afrique subsaharienne (Ouganda, Gabon, Bénin, Kenya) dans le renforcement de leurs capacités climat. Dix interventions ont permis de développer des compétences institutionnelles, techniques et humaines, et de faire émerger de véritables politiques publiques climat. Le projet a contribué à intégrer les enjeux climatiques dans la gestion des investissements, notamment grâce à des outils d’aide à la décision.</w:t>
      </w:r>
    </w:p>
    <w:p w14:paraId="2FA30176" w14:textId="5D4777CC" w:rsidR="00FF2EC9" w:rsidRPr="00FF2EC9" w:rsidRDefault="00FF2EC9" w:rsidP="00BA25AF">
      <w:pPr>
        <w:numPr>
          <w:ilvl w:val="0"/>
          <w:numId w:val="15"/>
        </w:numPr>
        <w:spacing w:before="120" w:after="120"/>
      </w:pPr>
      <w:r w:rsidRPr="00FF2EC9">
        <w:rPr>
          <w:b/>
          <w:bCs/>
        </w:rPr>
        <w:t>2015</w:t>
      </w:r>
      <w:r w:rsidRPr="00FF2EC9">
        <w:t xml:space="preserve"> : mise en place d’une première Facilité climat de 3,5 M€, mise en œuvre par Expertise France, pour accompagner 26 pays dans la préparation de leurs CPDN dans le cadre de l’Accord de Paris.</w:t>
      </w:r>
    </w:p>
    <w:p w14:paraId="1B7BE9E8" w14:textId="77777777" w:rsidR="00FF2EC9" w:rsidRPr="00FF2EC9" w:rsidRDefault="00FF2EC9" w:rsidP="00BA25AF">
      <w:pPr>
        <w:numPr>
          <w:ilvl w:val="0"/>
          <w:numId w:val="15"/>
        </w:numPr>
        <w:spacing w:before="120" w:after="120"/>
      </w:pPr>
      <w:r w:rsidRPr="00FF2EC9">
        <w:rPr>
          <w:b/>
          <w:bCs/>
        </w:rPr>
        <w:t>2016</w:t>
      </w:r>
      <w:r w:rsidRPr="00FF2EC9">
        <w:t xml:space="preserve"> : création de la Facilité CDN, destinée à appuyer une quinzaine de pays dans la mise en œuvre de leurs engagements climat.</w:t>
      </w:r>
    </w:p>
    <w:p w14:paraId="7BC91B2E" w14:textId="257A1369" w:rsidR="00FF2EC9" w:rsidRPr="00FF2EC9" w:rsidRDefault="00FF2EC9" w:rsidP="00BA25AF">
      <w:pPr>
        <w:numPr>
          <w:ilvl w:val="0"/>
          <w:numId w:val="15"/>
        </w:numPr>
        <w:spacing w:before="120" w:after="120"/>
      </w:pPr>
      <w:r w:rsidRPr="00FF2EC9">
        <w:rPr>
          <w:b/>
          <w:bCs/>
        </w:rPr>
        <w:lastRenderedPageBreak/>
        <w:t>2017</w:t>
      </w:r>
      <w:r w:rsidRPr="00FF2EC9">
        <w:t xml:space="preserve"> : la Facilité CDN est rebaptisée AdaptActio</w:t>
      </w:r>
      <w:r w:rsidR="0069630B" w:rsidRPr="008C4668">
        <w:t>n</w:t>
      </w:r>
      <w:r w:rsidRPr="00FF2EC9">
        <w:t>. La première phase du programme est lancée (2017–2022</w:t>
      </w:r>
      <w:proofErr w:type="gramStart"/>
      <w:r w:rsidRPr="00FF2EC9">
        <w:t>)</w:t>
      </w:r>
      <w:r w:rsidR="006F45EF" w:rsidRPr="00FF2EC9" w:rsidDel="006F45EF">
        <w:t xml:space="preserve"> </w:t>
      </w:r>
      <w:r w:rsidRPr="00FF2EC9">
        <w:t xml:space="preserve"> pour</w:t>
      </w:r>
      <w:proofErr w:type="gramEnd"/>
      <w:r w:rsidRPr="00FF2EC9">
        <w:t xml:space="preserve"> accompagner 13 pays et 2 organisations régionales</w:t>
      </w:r>
      <w:r w:rsidR="00DB5DD7">
        <w:rPr>
          <w:rStyle w:val="Appelnotedebasdep"/>
        </w:rPr>
        <w:footnoteReference w:id="1"/>
      </w:r>
      <w:r w:rsidRPr="00FF2EC9">
        <w:t>.</w:t>
      </w:r>
    </w:p>
    <w:p w14:paraId="33EEAB91" w14:textId="38BC3925" w:rsidR="00FF2EC9" w:rsidRPr="00FF2EC9" w:rsidRDefault="00FF2EC9" w:rsidP="00BA25AF">
      <w:pPr>
        <w:numPr>
          <w:ilvl w:val="0"/>
          <w:numId w:val="15"/>
        </w:numPr>
        <w:spacing w:before="120" w:after="120"/>
      </w:pPr>
      <w:r w:rsidRPr="00FF2EC9">
        <w:rPr>
          <w:b/>
          <w:bCs/>
        </w:rPr>
        <w:t>2022</w:t>
      </w:r>
      <w:r w:rsidRPr="00FF2EC9">
        <w:t xml:space="preserve"> : lancement de la deuxième phase d’AdaptAction (2022–2026) afin de prolonger et approfondir l’appui aux pays partenaires</w:t>
      </w:r>
      <w:r w:rsidR="006F45EF">
        <w:t xml:space="preserve"> avec un recentrage en Afrique</w:t>
      </w:r>
      <w:r w:rsidR="00896CE7">
        <w:rPr>
          <w:rStyle w:val="Appelnotedebasdep"/>
        </w:rPr>
        <w:footnoteReference w:id="2"/>
      </w:r>
    </w:p>
    <w:p w14:paraId="6638A713" w14:textId="77777777" w:rsidR="00FF2EC9" w:rsidRPr="00FF2EC9" w:rsidRDefault="00FF2EC9" w:rsidP="00BA25AF">
      <w:pPr>
        <w:numPr>
          <w:ilvl w:val="0"/>
          <w:numId w:val="15"/>
        </w:numPr>
        <w:spacing w:before="120" w:after="120"/>
      </w:pPr>
      <w:r w:rsidRPr="00FF2EC9">
        <w:rPr>
          <w:b/>
          <w:bCs/>
        </w:rPr>
        <w:t>2023–2025</w:t>
      </w:r>
      <w:r w:rsidRPr="00FF2EC9">
        <w:t xml:space="preserve"> : le programme est élargi à de nouvelles zones géographiques avec :</w:t>
      </w:r>
    </w:p>
    <w:p w14:paraId="266E7618" w14:textId="532C9F08" w:rsidR="00FF2EC9" w:rsidRPr="00FF2EC9" w:rsidRDefault="00FF2EC9" w:rsidP="00BA25AF">
      <w:pPr>
        <w:numPr>
          <w:ilvl w:val="1"/>
          <w:numId w:val="15"/>
        </w:numPr>
        <w:spacing w:before="120" w:after="120"/>
      </w:pPr>
      <w:proofErr w:type="gramStart"/>
      <w:r w:rsidRPr="00FF2EC9">
        <w:t>une</w:t>
      </w:r>
      <w:proofErr w:type="gramEnd"/>
      <w:r w:rsidRPr="00FF2EC9">
        <w:t xml:space="preserve"> extension Afrique du Nord et Moyen-Orient</w:t>
      </w:r>
      <w:r w:rsidR="00896CE7">
        <w:rPr>
          <w:rStyle w:val="Appelnotedebasdep"/>
        </w:rPr>
        <w:footnoteReference w:id="3"/>
      </w:r>
      <w:r w:rsidRPr="00FF2EC9">
        <w:t xml:space="preserve"> (7,5 M€, dont 1,5 M€ AFD et 6 M€ UE),</w:t>
      </w:r>
    </w:p>
    <w:p w14:paraId="76B549A9" w14:textId="77777777" w:rsidR="00FF2EC9" w:rsidRPr="008C4668" w:rsidRDefault="00FF2EC9" w:rsidP="00BA25AF">
      <w:pPr>
        <w:numPr>
          <w:ilvl w:val="1"/>
          <w:numId w:val="15"/>
        </w:numPr>
        <w:spacing w:before="120" w:after="120"/>
      </w:pPr>
      <w:proofErr w:type="gramStart"/>
      <w:r w:rsidRPr="00FF2EC9">
        <w:t>une</w:t>
      </w:r>
      <w:proofErr w:type="gramEnd"/>
      <w:r w:rsidRPr="00FF2EC9">
        <w:t xml:space="preserve"> extension Asie au Bangladesh (4 M€), visant à partager les enseignements du programme au-delà du continent</w:t>
      </w:r>
    </w:p>
    <w:p w14:paraId="6A58714D" w14:textId="0250B1E5" w:rsidR="0069630B" w:rsidRPr="00FF2EC9" w:rsidRDefault="0069630B" w:rsidP="00DB5DD7">
      <w:pPr>
        <w:numPr>
          <w:ilvl w:val="1"/>
          <w:numId w:val="15"/>
        </w:numPr>
        <w:spacing w:before="120" w:after="120"/>
      </w:pPr>
      <w:r w:rsidRPr="008C4668">
        <w:t>IAOM</w:t>
      </w:r>
      <w:r w:rsidR="00DB5DD7">
        <w:t xml:space="preserve"> : </w:t>
      </w:r>
      <w:r w:rsidR="00DB5DD7" w:rsidRPr="00DB5DD7">
        <w:t>Inspirée du programme AdaptAction, l’initiative Adaptation Outre-Mer (IAOM), financée par le Fonds Outre-Mer, a été créée pour renforcer les synergies régionales entre territoires ultramarins français et États insulaires, notamment dans l’océan Indien.</w:t>
      </w:r>
    </w:p>
    <w:p w14:paraId="670BB312" w14:textId="77777777" w:rsidR="00030A0B" w:rsidRDefault="00030A0B" w:rsidP="00461E6A">
      <w:pPr>
        <w:spacing w:before="120" w:after="120"/>
        <w:rPr>
          <w:b/>
          <w:bCs/>
        </w:rPr>
      </w:pPr>
    </w:p>
    <w:p w14:paraId="0E775FAF" w14:textId="633047EA" w:rsidR="00030A0B" w:rsidRPr="00873F75" w:rsidRDefault="00030A0B" w:rsidP="00461E6A">
      <w:pPr>
        <w:spacing w:before="120" w:after="120"/>
      </w:pPr>
      <w:r w:rsidRPr="00873F75">
        <w:t xml:space="preserve">Le passage de la phase 1 (2017–2022) à la phase 2 (2022–2026) d’AdaptAction marque un changement d’échelle et de logique d’intervention. La première phase, concentrée sur 13 pays et 2 organisations régionales principalement en Afrique subsaharienne, dans les </w:t>
      </w:r>
      <w:r w:rsidR="00335971" w:rsidRPr="00335971">
        <w:t>Caraïbes</w:t>
      </w:r>
      <w:r w:rsidRPr="00873F75">
        <w:t xml:space="preserve"> et dans l’océan Indien, était structurée autour de trois axes – gouvernance climat, intégration de l’adaptation dans les politiques publiques sectorielles et préparation de projets – avec une maîtrise d’ouvrage partagée : Expertise France assurait l’axe « gouvernance », tandis que l’AFD pilotait les deux autres volets. La deuxième phase conserve cet héritage mais l’élargit en introduisant un nouvel axe « Comprendre », dédié à la recherche-action et au lien science–politique–action, afin de nourrir plus directement la planification et l’investissement. Elle renforce en parallèle deux composantes transversales (genre et inclusion sociale, gestion des savoirs), confie l’ensemble de la maîtrise d’ouvrage à l’AFD pour accroître l’effet de levier et mieux ancrer le programme dans le dialogue de politiques publiques, et étend sa couverture géographique : 12 à 18 pays et organisations régionales seront accompagnés, avec un maintien de l’ancrage africain mais aussi une ouverture à l’Afrique du Nord, au Moyen-Orient et à l’Asie (Bangladesh).</w:t>
      </w:r>
    </w:p>
    <w:p w14:paraId="6F815CF5" w14:textId="77777777" w:rsidR="00030A0B" w:rsidRDefault="00030A0B" w:rsidP="00461E6A">
      <w:pPr>
        <w:spacing w:before="120" w:after="120"/>
        <w:rPr>
          <w:b/>
          <w:bCs/>
        </w:rPr>
      </w:pPr>
    </w:p>
    <w:p w14:paraId="0454AC79" w14:textId="77777777" w:rsidR="00030A0B" w:rsidRPr="008C4668" w:rsidRDefault="00030A0B" w:rsidP="00461E6A">
      <w:pPr>
        <w:spacing w:before="120" w:after="120"/>
        <w:rPr>
          <w:b/>
          <w:bCs/>
        </w:rPr>
      </w:pPr>
    </w:p>
    <w:p w14:paraId="5E19D84F" w14:textId="1E690408" w:rsidR="00461E6A" w:rsidRPr="00461E6A" w:rsidRDefault="00461E6A" w:rsidP="00461E6A">
      <w:pPr>
        <w:spacing w:before="120" w:after="120"/>
        <w:rPr>
          <w:b/>
          <w:bCs/>
        </w:rPr>
      </w:pPr>
      <w:r w:rsidRPr="00461E6A">
        <w:rPr>
          <w:b/>
          <w:bCs/>
        </w:rPr>
        <w:t>1. AdaptAction vise à accompagner les pays vulnérables dans la mise en œuvre de l’Accord de Paris</w:t>
      </w:r>
    </w:p>
    <w:p w14:paraId="58C6F4CC" w14:textId="144C77A3" w:rsidR="00461E6A" w:rsidRPr="008C4668" w:rsidRDefault="00461E6A" w:rsidP="00461E6A">
      <w:pPr>
        <w:spacing w:before="120" w:after="120"/>
      </w:pPr>
      <w:r w:rsidRPr="00461E6A">
        <w:t xml:space="preserve">Lancé en 2017 par l’AFD, le programme </w:t>
      </w:r>
      <w:r w:rsidRPr="00461E6A">
        <w:rPr>
          <w:b/>
          <w:bCs/>
        </w:rPr>
        <w:t>AdaptAction</w:t>
      </w:r>
      <w:r w:rsidRPr="00461E6A">
        <w:t xml:space="preserve"> constitue l’un des instruments phares de l’appui de la France aux pays les plus vulnérables face au changement climatique. Il vise à </w:t>
      </w:r>
      <w:r w:rsidRPr="00461E6A">
        <w:rPr>
          <w:b/>
          <w:bCs/>
        </w:rPr>
        <w:t>soutenir les pays et organisations régionales partenaires dans la mise en œuvre de leurs Contributions Déterminées au niveau National (CDN)</w:t>
      </w:r>
      <w:r w:rsidRPr="00461E6A">
        <w:t>, en particulier dans leur volet adaptation, et à renforcer leurs capacités institutionnelles, techniques et opérationnelles.</w:t>
      </w:r>
      <w:r w:rsidRPr="008C4668">
        <w:t xml:space="preserve"> En réponse au constat récurrent d</w:t>
      </w:r>
      <w:r w:rsidR="000E0628">
        <w:t>e l’</w:t>
      </w:r>
      <w:r w:rsidRPr="008C4668">
        <w:rPr>
          <w:i/>
          <w:iCs/>
        </w:rPr>
        <w:t>Adaptation Gap Report</w:t>
      </w:r>
      <w:r w:rsidRPr="008C4668">
        <w:t xml:space="preserve"> du PNUE, qui souligne que l’adaptation reste le « parent pauvre » de la finance climat, l’AFD souhaite, à travers AdaptAction, contribuer à combler </w:t>
      </w:r>
      <w:r w:rsidRPr="008C4668">
        <w:lastRenderedPageBreak/>
        <w:t xml:space="preserve">ce déséquilibre. Le programme vise à promouvoir une finance adaptation de qualité, en soutenant à la fois la connaissance scientifique, la planification stratégique et la préparation de projets d’investissement bancables. </w:t>
      </w:r>
    </w:p>
    <w:p w14:paraId="2DB447D9" w14:textId="77777777" w:rsidR="00461E6A" w:rsidRPr="00461E6A" w:rsidRDefault="00461E6A" w:rsidP="00461E6A">
      <w:pPr>
        <w:spacing w:before="120" w:after="120"/>
      </w:pPr>
      <w:r w:rsidRPr="00461E6A">
        <w:t>Le programme AdaptAction bénéficie d’un financement en plusieurs phases et extensions :</w:t>
      </w:r>
    </w:p>
    <w:p w14:paraId="78352865" w14:textId="4E887DD1" w:rsidR="00461E6A" w:rsidRPr="00461E6A" w:rsidRDefault="00461E6A" w:rsidP="00BA25AF">
      <w:pPr>
        <w:numPr>
          <w:ilvl w:val="0"/>
          <w:numId w:val="13"/>
        </w:numPr>
        <w:spacing w:before="120" w:after="120"/>
      </w:pPr>
      <w:r w:rsidRPr="00461E6A">
        <w:rPr>
          <w:b/>
          <w:bCs/>
        </w:rPr>
        <w:t xml:space="preserve">30 M€ </w:t>
      </w:r>
      <w:r w:rsidRPr="008C4668">
        <w:rPr>
          <w:b/>
          <w:bCs/>
        </w:rPr>
        <w:t>en subvention</w:t>
      </w:r>
      <w:r w:rsidRPr="00461E6A">
        <w:t xml:space="preserve"> pour la </w:t>
      </w:r>
      <w:r w:rsidRPr="00461E6A">
        <w:rPr>
          <w:b/>
          <w:bCs/>
        </w:rPr>
        <w:t>première phase (2017–2022)</w:t>
      </w:r>
      <w:r w:rsidRPr="00461E6A">
        <w:t>, désormais clôturée.</w:t>
      </w:r>
    </w:p>
    <w:p w14:paraId="2A5B9F5B" w14:textId="71394648" w:rsidR="00461E6A" w:rsidRPr="00461E6A" w:rsidRDefault="00461E6A" w:rsidP="00BA25AF">
      <w:pPr>
        <w:numPr>
          <w:ilvl w:val="0"/>
          <w:numId w:val="13"/>
        </w:numPr>
        <w:spacing w:before="120" w:after="120"/>
      </w:pPr>
      <w:r w:rsidRPr="00461E6A">
        <w:rPr>
          <w:b/>
          <w:bCs/>
        </w:rPr>
        <w:t>20 M€</w:t>
      </w:r>
      <w:r w:rsidRPr="008C4668">
        <w:rPr>
          <w:b/>
          <w:bCs/>
        </w:rPr>
        <w:t xml:space="preserve"> en subvention également</w:t>
      </w:r>
      <w:r w:rsidRPr="00461E6A">
        <w:t xml:space="preserve"> pour la </w:t>
      </w:r>
      <w:r w:rsidRPr="00461E6A">
        <w:rPr>
          <w:b/>
          <w:bCs/>
        </w:rPr>
        <w:t>deuxième phase (2022–2026)</w:t>
      </w:r>
      <w:r w:rsidRPr="00461E6A">
        <w:t xml:space="preserve">, comprenant un premier financement de </w:t>
      </w:r>
      <w:r w:rsidRPr="00461E6A">
        <w:rPr>
          <w:b/>
          <w:bCs/>
        </w:rPr>
        <w:t>15 M€</w:t>
      </w:r>
      <w:r w:rsidRPr="00461E6A">
        <w:t xml:space="preserve"> octroyé en 2021, puis renforcé par un </w:t>
      </w:r>
      <w:proofErr w:type="spellStart"/>
      <w:r w:rsidRPr="00461E6A">
        <w:rPr>
          <w:b/>
          <w:bCs/>
        </w:rPr>
        <w:t>réabondement</w:t>
      </w:r>
      <w:proofErr w:type="spellEnd"/>
      <w:r w:rsidRPr="00461E6A">
        <w:rPr>
          <w:b/>
          <w:bCs/>
        </w:rPr>
        <w:t xml:space="preserve"> de 5 M€</w:t>
      </w:r>
      <w:r w:rsidRPr="00461E6A">
        <w:t xml:space="preserve"> en juillet 2025.</w:t>
      </w:r>
    </w:p>
    <w:p w14:paraId="17FD38DB" w14:textId="21AD2CC5" w:rsidR="00461E6A" w:rsidRPr="00461E6A" w:rsidRDefault="00461E6A" w:rsidP="00BA25AF">
      <w:pPr>
        <w:numPr>
          <w:ilvl w:val="0"/>
          <w:numId w:val="13"/>
        </w:numPr>
        <w:spacing w:before="120" w:after="120"/>
      </w:pPr>
      <w:r w:rsidRPr="00461E6A">
        <w:t xml:space="preserve">Une </w:t>
      </w:r>
      <w:r w:rsidRPr="00461E6A">
        <w:rPr>
          <w:b/>
          <w:bCs/>
        </w:rPr>
        <w:t>extension Afrique du Nord et Moyen-Orient</w:t>
      </w:r>
      <w:r w:rsidRPr="00461E6A">
        <w:t xml:space="preserve"> dotée de </w:t>
      </w:r>
      <w:r w:rsidRPr="00461E6A">
        <w:rPr>
          <w:b/>
          <w:bCs/>
        </w:rPr>
        <w:t>7,5 M€</w:t>
      </w:r>
      <w:r w:rsidRPr="00461E6A">
        <w:t xml:space="preserve"> (dont </w:t>
      </w:r>
      <w:r w:rsidRPr="00461E6A">
        <w:rPr>
          <w:b/>
          <w:bCs/>
        </w:rPr>
        <w:t xml:space="preserve">1,5 M€ </w:t>
      </w:r>
      <w:r w:rsidRPr="008C4668">
        <w:rPr>
          <w:b/>
          <w:bCs/>
        </w:rPr>
        <w:t xml:space="preserve">en subvention </w:t>
      </w:r>
      <w:r w:rsidRPr="00461E6A">
        <w:t xml:space="preserve">et </w:t>
      </w:r>
      <w:r w:rsidRPr="00461E6A">
        <w:rPr>
          <w:b/>
          <w:bCs/>
        </w:rPr>
        <w:t xml:space="preserve">6 M€ </w:t>
      </w:r>
      <w:r w:rsidRPr="008C4668">
        <w:rPr>
          <w:b/>
          <w:bCs/>
        </w:rPr>
        <w:t>co-financé par</w:t>
      </w:r>
      <w:r w:rsidRPr="00461E6A">
        <w:rPr>
          <w:b/>
          <w:bCs/>
        </w:rPr>
        <w:t xml:space="preserve"> l’Union européenne</w:t>
      </w:r>
      <w:r w:rsidRPr="00461E6A">
        <w:t>).</w:t>
      </w:r>
    </w:p>
    <w:p w14:paraId="21AA4E8C" w14:textId="594C6391" w:rsidR="00461E6A" w:rsidRPr="008C4668" w:rsidRDefault="00461E6A" w:rsidP="00BA25AF">
      <w:pPr>
        <w:numPr>
          <w:ilvl w:val="0"/>
          <w:numId w:val="13"/>
        </w:numPr>
        <w:spacing w:before="120" w:after="120"/>
      </w:pPr>
      <w:r w:rsidRPr="00461E6A">
        <w:t xml:space="preserve">Une </w:t>
      </w:r>
      <w:r w:rsidRPr="00461E6A">
        <w:rPr>
          <w:b/>
          <w:bCs/>
        </w:rPr>
        <w:t>extension Asie</w:t>
      </w:r>
      <w:r w:rsidRPr="00461E6A">
        <w:t xml:space="preserve">, avec </w:t>
      </w:r>
      <w:r w:rsidRPr="00461E6A">
        <w:rPr>
          <w:b/>
          <w:bCs/>
        </w:rPr>
        <w:t>4 M€</w:t>
      </w:r>
      <w:r w:rsidRPr="008C4668">
        <w:rPr>
          <w:b/>
          <w:bCs/>
        </w:rPr>
        <w:t xml:space="preserve"> en subvention</w:t>
      </w:r>
      <w:r w:rsidRPr="00461E6A">
        <w:rPr>
          <w:b/>
          <w:bCs/>
        </w:rPr>
        <w:t xml:space="preserve"> dédiés au Bangladesh</w:t>
      </w:r>
      <w:r w:rsidRPr="00461E6A">
        <w:t>, afin de partager les enseignements et les approches du programme au-delà du continent africain.</w:t>
      </w:r>
    </w:p>
    <w:p w14:paraId="12573712" w14:textId="05AEBA05" w:rsidR="00461E6A" w:rsidRPr="00461E6A" w:rsidRDefault="00461E6A" w:rsidP="00461E6A">
      <w:pPr>
        <w:spacing w:before="120" w:after="120"/>
      </w:pPr>
      <w:r w:rsidRPr="00461E6A">
        <w:t xml:space="preserve">AdaptAction s’inscrit dans la stratégie de l’AFD « </w:t>
      </w:r>
      <w:r w:rsidRPr="00461E6A">
        <w:rPr>
          <w:b/>
          <w:bCs/>
        </w:rPr>
        <w:t>100 % Accord de Paris</w:t>
      </w:r>
      <w:r w:rsidRPr="00461E6A">
        <w:t xml:space="preserve"> » et contribue directement aux objectifs de l’Accord de Paris sur l’adaptation (article 7) ainsi qu’aux Objectifs de Développement Durable, en particulier l’ODD 13 (« Lutte contre les changements climatiques »).</w:t>
      </w:r>
      <w:r w:rsidRPr="00461E6A">
        <w:br/>
      </w:r>
    </w:p>
    <w:p w14:paraId="07070094" w14:textId="1228F40D" w:rsidR="00461E6A" w:rsidRPr="00461E6A" w:rsidRDefault="00461E6A" w:rsidP="00461E6A">
      <w:pPr>
        <w:spacing w:before="120" w:after="120"/>
        <w:rPr>
          <w:b/>
          <w:bCs/>
        </w:rPr>
      </w:pPr>
      <w:r w:rsidRPr="00461E6A">
        <w:rPr>
          <w:b/>
          <w:bCs/>
        </w:rPr>
        <w:t xml:space="preserve">2. AdaptAction </w:t>
      </w:r>
      <w:r w:rsidRPr="008C4668">
        <w:rPr>
          <w:b/>
          <w:bCs/>
        </w:rPr>
        <w:t xml:space="preserve">repose sur un triptyque stratégique </w:t>
      </w:r>
      <w:r w:rsidR="00481F4E">
        <w:rPr>
          <w:b/>
          <w:bCs/>
        </w:rPr>
        <w:t xml:space="preserve">conçu </w:t>
      </w:r>
      <w:r w:rsidRPr="00461E6A">
        <w:rPr>
          <w:b/>
          <w:bCs/>
        </w:rPr>
        <w:t>pour répondre aux besoins spécifiques des pays partenaires</w:t>
      </w:r>
    </w:p>
    <w:p w14:paraId="553C26F6" w14:textId="34F86FDA" w:rsidR="00461E6A" w:rsidRPr="008C4668" w:rsidRDefault="00461E6A" w:rsidP="00461E6A">
      <w:pPr>
        <w:spacing w:before="120" w:after="120"/>
      </w:pPr>
      <w:r w:rsidRPr="00461E6A">
        <w:t xml:space="preserve">Le programme est structuré autour </w:t>
      </w:r>
      <w:r w:rsidR="0080239D" w:rsidRPr="008C4668">
        <w:t>Du triptyque :</w:t>
      </w:r>
    </w:p>
    <w:p w14:paraId="520E5F85" w14:textId="77777777" w:rsidR="0080239D" w:rsidRPr="008C4668" w:rsidRDefault="0080239D" w:rsidP="00BA25AF">
      <w:pPr>
        <w:pStyle w:val="Paragraphedeliste"/>
        <w:numPr>
          <w:ilvl w:val="0"/>
          <w:numId w:val="14"/>
        </w:numPr>
        <w:spacing w:before="100" w:beforeAutospacing="1" w:after="100" w:afterAutospacing="1"/>
        <w:rPr>
          <w:rFonts w:eastAsia="Times New Roman" w:cstheme="minorHAnsi"/>
        </w:rPr>
      </w:pPr>
      <w:r w:rsidRPr="008C4668">
        <w:rPr>
          <w:rFonts w:eastAsia="Times New Roman" w:cstheme="minorHAnsi"/>
          <w:b/>
          <w:bCs/>
        </w:rPr>
        <w:t>Comprendre</w:t>
      </w:r>
      <w:r w:rsidRPr="008C4668">
        <w:rPr>
          <w:rFonts w:eastAsia="Times New Roman" w:cstheme="minorHAnsi"/>
        </w:rPr>
        <w:t xml:space="preserve"> : </w:t>
      </w:r>
      <w:r w:rsidRPr="008C4668">
        <w:rPr>
          <w:rFonts w:cstheme="minorHAnsi"/>
        </w:rPr>
        <w:t xml:space="preserve">a pour objectif de soutenir et valoriser des travaux de recherche-action et de </w:t>
      </w:r>
      <w:proofErr w:type="spellStart"/>
      <w:r w:rsidRPr="008C4668">
        <w:rPr>
          <w:rFonts w:cstheme="minorHAnsi"/>
          <w:i/>
        </w:rPr>
        <w:t>knowledge</w:t>
      </w:r>
      <w:proofErr w:type="spellEnd"/>
      <w:r w:rsidRPr="008C4668">
        <w:rPr>
          <w:rFonts w:cstheme="minorHAnsi"/>
          <w:i/>
        </w:rPr>
        <w:t xml:space="preserve"> </w:t>
      </w:r>
      <w:proofErr w:type="spellStart"/>
      <w:r w:rsidRPr="008C4668">
        <w:rPr>
          <w:rFonts w:cstheme="minorHAnsi"/>
          <w:i/>
        </w:rPr>
        <w:t>brokering</w:t>
      </w:r>
      <w:proofErr w:type="spellEnd"/>
      <w:r w:rsidRPr="008C4668">
        <w:rPr>
          <w:rFonts w:cstheme="minorHAnsi"/>
        </w:rPr>
        <w:t xml:space="preserve"> permettant de guider la planification, mise en œuvre et évaluation de l’adaptation, et ainsi renforcer l’interface science-stratégies-action (</w:t>
      </w:r>
      <w:r w:rsidRPr="008C4668">
        <w:rPr>
          <w:rFonts w:cstheme="minorHAnsi"/>
          <w:i/>
        </w:rPr>
        <w:t>science-</w:t>
      </w:r>
      <w:proofErr w:type="spellStart"/>
      <w:r w:rsidRPr="008C4668">
        <w:rPr>
          <w:rFonts w:cstheme="minorHAnsi"/>
          <w:i/>
        </w:rPr>
        <w:t>policy</w:t>
      </w:r>
      <w:proofErr w:type="spellEnd"/>
      <w:r w:rsidRPr="008C4668">
        <w:rPr>
          <w:rFonts w:cstheme="minorHAnsi"/>
          <w:i/>
        </w:rPr>
        <w:t>-action</w:t>
      </w:r>
      <w:r w:rsidRPr="008C4668">
        <w:rPr>
          <w:rFonts w:cstheme="minorHAnsi"/>
        </w:rPr>
        <w:t>).</w:t>
      </w:r>
    </w:p>
    <w:p w14:paraId="0C734BE8" w14:textId="77777777" w:rsidR="0080239D" w:rsidRPr="008C4668" w:rsidRDefault="0080239D" w:rsidP="00BA25AF">
      <w:pPr>
        <w:pStyle w:val="Paragraphedeliste"/>
        <w:numPr>
          <w:ilvl w:val="1"/>
          <w:numId w:val="14"/>
        </w:numPr>
        <w:spacing w:before="100" w:beforeAutospacing="1" w:after="100" w:afterAutospacing="1"/>
        <w:rPr>
          <w:rFonts w:eastAsia="Times New Roman" w:cstheme="minorHAnsi"/>
        </w:rPr>
      </w:pPr>
      <w:r w:rsidRPr="008C4668">
        <w:rPr>
          <w:rFonts w:eastAsia="Times New Roman" w:cstheme="minorHAnsi"/>
          <w:b/>
          <w:i/>
        </w:rPr>
        <w:t>Exemple d’appui</w:t>
      </w:r>
      <w:r w:rsidRPr="008C4668">
        <w:rPr>
          <w:rFonts w:eastAsia="Times New Roman" w:cstheme="minorHAnsi"/>
          <w:i/>
        </w:rPr>
        <w:t xml:space="preserve"> : </w:t>
      </w:r>
      <w:proofErr w:type="spellStart"/>
      <w:r w:rsidRPr="008C4668">
        <w:rPr>
          <w:rFonts w:eastAsia="Times New Roman" w:cstheme="minorHAnsi"/>
          <w:i/>
        </w:rPr>
        <w:t>Loss</w:t>
      </w:r>
      <w:proofErr w:type="spellEnd"/>
      <w:r w:rsidRPr="008C4668">
        <w:rPr>
          <w:rFonts w:eastAsia="Times New Roman" w:cstheme="minorHAnsi"/>
          <w:i/>
        </w:rPr>
        <w:t xml:space="preserve"> &amp; Damage – Cas d’étude Sénégal : « Co-</w:t>
      </w:r>
      <w:proofErr w:type="spellStart"/>
      <w:r w:rsidRPr="008C4668">
        <w:rPr>
          <w:rFonts w:eastAsia="Times New Roman" w:cstheme="minorHAnsi"/>
          <w:i/>
        </w:rPr>
        <w:t>generating</w:t>
      </w:r>
      <w:proofErr w:type="spellEnd"/>
      <w:r w:rsidRPr="008C4668">
        <w:rPr>
          <w:rFonts w:eastAsia="Times New Roman" w:cstheme="minorHAnsi"/>
          <w:i/>
        </w:rPr>
        <w:t xml:space="preserve"> </w:t>
      </w:r>
      <w:proofErr w:type="spellStart"/>
      <w:r w:rsidRPr="008C4668">
        <w:rPr>
          <w:rFonts w:eastAsia="Times New Roman" w:cstheme="minorHAnsi"/>
          <w:i/>
        </w:rPr>
        <w:t>Pathways</w:t>
      </w:r>
      <w:proofErr w:type="spellEnd"/>
      <w:r w:rsidRPr="008C4668">
        <w:rPr>
          <w:rFonts w:eastAsia="Times New Roman" w:cstheme="minorHAnsi"/>
          <w:i/>
        </w:rPr>
        <w:t xml:space="preserve"> to </w:t>
      </w:r>
      <w:proofErr w:type="spellStart"/>
      <w:r w:rsidRPr="008C4668">
        <w:rPr>
          <w:rFonts w:eastAsia="Times New Roman" w:cstheme="minorHAnsi"/>
          <w:i/>
        </w:rPr>
        <w:t>Practical</w:t>
      </w:r>
      <w:proofErr w:type="spellEnd"/>
      <w:r w:rsidRPr="008C4668">
        <w:rPr>
          <w:rFonts w:eastAsia="Times New Roman" w:cstheme="minorHAnsi"/>
          <w:i/>
        </w:rPr>
        <w:t xml:space="preserve"> Solutions in </w:t>
      </w:r>
      <w:proofErr w:type="spellStart"/>
      <w:r w:rsidRPr="008C4668">
        <w:rPr>
          <w:rFonts w:eastAsia="Times New Roman" w:cstheme="minorHAnsi"/>
          <w:i/>
        </w:rPr>
        <w:t>Senegal</w:t>
      </w:r>
      <w:proofErr w:type="spellEnd"/>
      <w:r w:rsidRPr="008C4668">
        <w:rPr>
          <w:rFonts w:eastAsia="Times New Roman" w:cstheme="minorHAnsi"/>
          <w:i/>
        </w:rPr>
        <w:t xml:space="preserve"> </w:t>
      </w:r>
      <w:proofErr w:type="gramStart"/>
      <w:r w:rsidRPr="008C4668">
        <w:rPr>
          <w:rFonts w:eastAsia="Times New Roman" w:cstheme="minorHAnsi"/>
          <w:i/>
        </w:rPr>
        <w:t>»:</w:t>
      </w:r>
      <w:proofErr w:type="gramEnd"/>
      <w:r w:rsidRPr="008C4668">
        <w:rPr>
          <w:rFonts w:eastAsia="Times New Roman" w:cstheme="minorHAnsi"/>
          <w:i/>
        </w:rPr>
        <w:t xml:space="preserve"> Développer une méthodologie d’évaluation des pertes et dommages économiques et non économiques, liés aux facteurs climatiques rapides et lents.</w:t>
      </w:r>
    </w:p>
    <w:p w14:paraId="3E33CDE9" w14:textId="77777777" w:rsidR="0080239D" w:rsidRPr="008C4668" w:rsidRDefault="0080239D" w:rsidP="00BA25AF">
      <w:pPr>
        <w:pStyle w:val="Paragraphedeliste"/>
        <w:numPr>
          <w:ilvl w:val="0"/>
          <w:numId w:val="14"/>
        </w:numPr>
        <w:spacing w:before="100" w:beforeAutospacing="1" w:after="100" w:afterAutospacing="1"/>
        <w:rPr>
          <w:rFonts w:eastAsia="Times New Roman" w:cstheme="minorHAnsi"/>
          <w:b/>
          <w:bCs/>
        </w:rPr>
      </w:pPr>
      <w:r w:rsidRPr="008C4668">
        <w:rPr>
          <w:rFonts w:eastAsia="Times New Roman" w:cstheme="minorHAnsi"/>
          <w:b/>
          <w:bCs/>
        </w:rPr>
        <w:t xml:space="preserve">Planifier : </w:t>
      </w:r>
      <w:r w:rsidRPr="008C4668">
        <w:rPr>
          <w:rFonts w:eastAsia="Times New Roman" w:cstheme="minorHAnsi"/>
          <w:bCs/>
        </w:rPr>
        <w:t>vise à appuyer la mise en place de stratégies nationales d'adaptation aux changements climatiques, tout en contribuant au bilan mondial de l’Accord de Paris. Il encourage la gouvernance multisectorielle, renforce les capacités nationales par le biais de dialogues interministériels et d’outils de suivi. Cet axe facilite également l'intégration de l'adaptation dans les politiques sectorielles avec des plans d'action concrets, guides, et outils adaptés aux contextes nationaux et régionaux.</w:t>
      </w:r>
    </w:p>
    <w:p w14:paraId="646F3A2F" w14:textId="77777777" w:rsidR="0080239D" w:rsidRPr="008C4668" w:rsidRDefault="0080239D" w:rsidP="00BA25AF">
      <w:pPr>
        <w:pStyle w:val="Paragraphedeliste"/>
        <w:numPr>
          <w:ilvl w:val="1"/>
          <w:numId w:val="14"/>
        </w:numPr>
        <w:spacing w:before="100" w:beforeAutospacing="1" w:after="100" w:afterAutospacing="1"/>
        <w:rPr>
          <w:rFonts w:eastAsia="Times New Roman" w:cstheme="minorHAnsi"/>
          <w:b/>
          <w:bCs/>
        </w:rPr>
      </w:pPr>
      <w:r w:rsidRPr="008C4668">
        <w:rPr>
          <w:rFonts w:eastAsia="Times New Roman" w:cstheme="minorHAnsi"/>
          <w:b/>
          <w:i/>
        </w:rPr>
        <w:t>Exemple d’appui</w:t>
      </w:r>
      <w:r w:rsidRPr="008C4668">
        <w:rPr>
          <w:rFonts w:eastAsia="Times New Roman" w:cstheme="minorHAnsi"/>
          <w:i/>
        </w:rPr>
        <w:t> : Étude diagnostique approfondie sur la transition agroécologique au Bénin, en appui à l’élaboration de la Politique de Développement du Secteur Agricole (PDSA 2026-2035)</w:t>
      </w:r>
    </w:p>
    <w:p w14:paraId="1A181569" w14:textId="77777777" w:rsidR="0080239D" w:rsidRPr="008C4668" w:rsidRDefault="0080239D" w:rsidP="00BA25AF">
      <w:pPr>
        <w:pStyle w:val="Paragraphedeliste"/>
        <w:numPr>
          <w:ilvl w:val="0"/>
          <w:numId w:val="14"/>
        </w:numPr>
        <w:spacing w:before="100" w:beforeAutospacing="1" w:after="100" w:afterAutospacing="1"/>
        <w:rPr>
          <w:rFonts w:eastAsia="Times New Roman" w:cstheme="minorHAnsi"/>
          <w:bCs/>
        </w:rPr>
      </w:pPr>
      <w:r w:rsidRPr="008C4668">
        <w:rPr>
          <w:rFonts w:eastAsia="Times New Roman" w:cstheme="minorHAnsi"/>
          <w:b/>
          <w:bCs/>
        </w:rPr>
        <w:t xml:space="preserve">Investir : </w:t>
      </w:r>
      <w:r w:rsidRPr="008C4668">
        <w:rPr>
          <w:rFonts w:eastAsia="Times New Roman" w:cstheme="minorHAnsi"/>
          <w:bCs/>
        </w:rPr>
        <w:t>vise à accompagner les pays à catalyser de la finance climat en préparant des projets d’adaptation bancable en co-financement avec l’AFD, et d’autres PTF (UE, Banque Mondiale, etc.) mais aussi du Fonds Vert pour le Climat et le Fonds d’Adaptation.</w:t>
      </w:r>
    </w:p>
    <w:p w14:paraId="28FA2C0C" w14:textId="77777777" w:rsidR="0080239D" w:rsidRPr="008C4668" w:rsidRDefault="0080239D" w:rsidP="00BA25AF">
      <w:pPr>
        <w:pStyle w:val="Paragraphedeliste"/>
        <w:numPr>
          <w:ilvl w:val="1"/>
          <w:numId w:val="14"/>
        </w:numPr>
        <w:spacing w:before="100" w:beforeAutospacing="1" w:after="100" w:afterAutospacing="1"/>
        <w:rPr>
          <w:rFonts w:eastAsia="Times New Roman" w:cstheme="minorHAnsi"/>
          <w:bCs/>
        </w:rPr>
      </w:pPr>
      <w:r w:rsidRPr="008C4668">
        <w:rPr>
          <w:rFonts w:eastAsia="Times New Roman" w:cstheme="minorHAnsi"/>
          <w:b/>
          <w:i/>
        </w:rPr>
        <w:t>Exemple d’appui</w:t>
      </w:r>
      <w:r w:rsidRPr="008C4668">
        <w:rPr>
          <w:rFonts w:eastAsia="Times New Roman" w:cstheme="minorHAnsi"/>
          <w:i/>
        </w:rPr>
        <w:t> : Etude de vulnérabilité et de faisabilité pour la réalisation de travaux de limitation de l’érosion et des inondations dans un contexte de changement climatique à Boma – République Démocratique du Congo</w:t>
      </w:r>
    </w:p>
    <w:p w14:paraId="2078861A" w14:textId="77777777" w:rsidR="0080239D" w:rsidRPr="008C4668" w:rsidRDefault="0080239D" w:rsidP="0080239D">
      <w:pPr>
        <w:pStyle w:val="Paragraphedeliste"/>
        <w:spacing w:before="100" w:beforeAutospacing="1" w:after="100" w:afterAutospacing="1"/>
        <w:ind w:left="1800"/>
        <w:rPr>
          <w:rFonts w:eastAsia="Times New Roman" w:cstheme="minorHAnsi"/>
          <w:bCs/>
        </w:rPr>
      </w:pPr>
    </w:p>
    <w:p w14:paraId="4ABD60B2" w14:textId="77777777" w:rsidR="0080239D" w:rsidRPr="008C4668" w:rsidRDefault="0080239D" w:rsidP="00BA25AF">
      <w:pPr>
        <w:pStyle w:val="Paragraphedeliste"/>
        <w:numPr>
          <w:ilvl w:val="0"/>
          <w:numId w:val="14"/>
        </w:numPr>
        <w:spacing w:before="100" w:beforeAutospacing="1" w:after="100" w:afterAutospacing="1"/>
        <w:rPr>
          <w:rFonts w:eastAsia="Times New Roman" w:cstheme="minorHAnsi"/>
          <w:b/>
          <w:bCs/>
        </w:rPr>
      </w:pPr>
      <w:r w:rsidRPr="008C4668">
        <w:rPr>
          <w:rFonts w:eastAsia="Times New Roman" w:cstheme="minorHAnsi"/>
          <w:b/>
          <w:bCs/>
        </w:rPr>
        <w:t>2 composantes transversales</w:t>
      </w:r>
    </w:p>
    <w:p w14:paraId="5E3370EB" w14:textId="77777777" w:rsidR="0080239D" w:rsidRPr="008C4668" w:rsidRDefault="0080239D" w:rsidP="00BA25AF">
      <w:pPr>
        <w:pStyle w:val="Paragraphedeliste"/>
        <w:numPr>
          <w:ilvl w:val="1"/>
          <w:numId w:val="14"/>
        </w:numPr>
        <w:spacing w:before="100" w:beforeAutospacing="1" w:after="100" w:afterAutospacing="1"/>
        <w:rPr>
          <w:rFonts w:eastAsia="Times New Roman" w:cstheme="minorHAnsi"/>
          <w:b/>
          <w:bCs/>
        </w:rPr>
      </w:pPr>
      <w:r w:rsidRPr="008C4668">
        <w:rPr>
          <w:rFonts w:eastAsia="Times New Roman" w:cstheme="minorHAnsi"/>
        </w:rPr>
        <w:lastRenderedPageBreak/>
        <w:t>Genre et inclusion sociale : en transversal de tous les appuis</w:t>
      </w:r>
    </w:p>
    <w:p w14:paraId="767FC28E" w14:textId="77777777" w:rsidR="0080239D" w:rsidRPr="008C4668" w:rsidRDefault="0080239D" w:rsidP="00BA25AF">
      <w:pPr>
        <w:pStyle w:val="Paragraphedeliste"/>
        <w:numPr>
          <w:ilvl w:val="1"/>
          <w:numId w:val="14"/>
        </w:numPr>
        <w:spacing w:before="100" w:beforeAutospacing="1" w:after="100" w:afterAutospacing="1"/>
        <w:rPr>
          <w:rFonts w:eastAsia="Times New Roman" w:cstheme="minorHAnsi"/>
          <w:b/>
          <w:bCs/>
        </w:rPr>
      </w:pPr>
      <w:proofErr w:type="spellStart"/>
      <w:r w:rsidRPr="008C4668">
        <w:rPr>
          <w:rFonts w:eastAsia="Times New Roman" w:cstheme="minorHAnsi"/>
        </w:rPr>
        <w:t>Knowledge</w:t>
      </w:r>
      <w:proofErr w:type="spellEnd"/>
      <w:r w:rsidRPr="008C4668">
        <w:rPr>
          <w:rFonts w:eastAsia="Times New Roman" w:cstheme="minorHAnsi"/>
        </w:rPr>
        <w:t xml:space="preserve"> management : En intégrant des échanges Sud-Sud et Nord-Sud, AdaptAction permet aux pays participants de bénéficier de retours d’expérience et de connaissances techniques issues d’autres initiatives internationales.</w:t>
      </w:r>
    </w:p>
    <w:p w14:paraId="243587CF" w14:textId="77777777" w:rsidR="0080239D" w:rsidRPr="008C4668" w:rsidRDefault="0080239D" w:rsidP="0080239D">
      <w:pPr>
        <w:spacing w:before="100" w:beforeAutospacing="1" w:after="100" w:afterAutospacing="1"/>
        <w:rPr>
          <w:rFonts w:eastAsia="Times New Roman" w:cstheme="minorHAnsi"/>
          <w:b/>
          <w:bCs/>
        </w:rPr>
      </w:pPr>
    </w:p>
    <w:p w14:paraId="2FCAE644" w14:textId="77777777" w:rsidR="0080239D" w:rsidRPr="008C4668" w:rsidRDefault="0080239D" w:rsidP="0080239D">
      <w:pPr>
        <w:keepNext/>
        <w:spacing w:before="100" w:beforeAutospacing="1" w:after="100" w:afterAutospacing="1"/>
      </w:pPr>
      <w:r w:rsidRPr="008C4668">
        <w:rPr>
          <w:rFonts w:cstheme="minorHAnsi"/>
          <w:noProof/>
        </w:rPr>
        <w:drawing>
          <wp:inline distT="0" distB="0" distL="0" distR="0" wp14:anchorId="44E0608F" wp14:editId="6EE526D0">
            <wp:extent cx="5760720" cy="2261870"/>
            <wp:effectExtent l="0" t="0" r="0" b="508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720" cy="2261870"/>
                    </a:xfrm>
                    <a:prstGeom prst="rect">
                      <a:avLst/>
                    </a:prstGeom>
                    <a:noFill/>
                    <a:ln>
                      <a:noFill/>
                    </a:ln>
                  </pic:spPr>
                </pic:pic>
              </a:graphicData>
            </a:graphic>
          </wp:inline>
        </w:drawing>
      </w:r>
    </w:p>
    <w:p w14:paraId="73BAD94C" w14:textId="6D58A06E" w:rsidR="0080239D" w:rsidRPr="008C4668" w:rsidRDefault="0080239D" w:rsidP="0080239D">
      <w:pPr>
        <w:pStyle w:val="Lgende"/>
        <w:rPr>
          <w:rFonts w:eastAsia="Times New Roman" w:cstheme="minorHAnsi"/>
          <w:b/>
          <w:bCs/>
          <w:sz w:val="22"/>
          <w:szCs w:val="22"/>
        </w:rPr>
      </w:pPr>
      <w:r w:rsidRPr="008C4668">
        <w:rPr>
          <w:sz w:val="22"/>
          <w:szCs w:val="22"/>
        </w:rPr>
        <w:t xml:space="preserve">Figure </w:t>
      </w:r>
      <w:r w:rsidRPr="008C4668">
        <w:rPr>
          <w:sz w:val="22"/>
          <w:szCs w:val="22"/>
        </w:rPr>
        <w:fldChar w:fldCharType="begin"/>
      </w:r>
      <w:r w:rsidRPr="008C4668">
        <w:rPr>
          <w:sz w:val="22"/>
          <w:szCs w:val="22"/>
        </w:rPr>
        <w:instrText xml:space="preserve"> SEQ Figure \* ARABIC </w:instrText>
      </w:r>
      <w:r w:rsidRPr="008C4668">
        <w:rPr>
          <w:sz w:val="22"/>
          <w:szCs w:val="22"/>
        </w:rPr>
        <w:fldChar w:fldCharType="separate"/>
      </w:r>
      <w:r w:rsidR="008A7D27">
        <w:rPr>
          <w:noProof/>
          <w:sz w:val="22"/>
          <w:szCs w:val="22"/>
        </w:rPr>
        <w:t>1</w:t>
      </w:r>
      <w:r w:rsidRPr="008C4668">
        <w:rPr>
          <w:sz w:val="22"/>
          <w:szCs w:val="22"/>
        </w:rPr>
        <w:fldChar w:fldCharType="end"/>
      </w:r>
      <w:r w:rsidRPr="008C4668">
        <w:rPr>
          <w:sz w:val="22"/>
          <w:szCs w:val="22"/>
        </w:rPr>
        <w:t xml:space="preserve"> : Axes d'intervention du programme d'AdaptAction</w:t>
      </w:r>
    </w:p>
    <w:p w14:paraId="0BBAA6F9" w14:textId="662A4303" w:rsidR="00461E6A" w:rsidRPr="008C4668" w:rsidRDefault="00461E6A" w:rsidP="00461E6A">
      <w:pPr>
        <w:spacing w:before="120" w:after="120"/>
      </w:pPr>
      <w:r w:rsidRPr="00461E6A">
        <w:t xml:space="preserve">Cette architecture permet d’articuler le </w:t>
      </w:r>
      <w:r w:rsidRPr="00461E6A">
        <w:rPr>
          <w:b/>
          <w:bCs/>
        </w:rPr>
        <w:t>renforcement de l’environnement institutionnel</w:t>
      </w:r>
      <w:r w:rsidRPr="00461E6A">
        <w:t xml:space="preserve"> et la </w:t>
      </w:r>
      <w:r w:rsidRPr="00461E6A">
        <w:rPr>
          <w:b/>
          <w:bCs/>
        </w:rPr>
        <w:t>mise en œuvre opérationnelle</w:t>
      </w:r>
      <w:r w:rsidRPr="00461E6A">
        <w:t>, garantissant un ancrage durable des actions d’adaptation dans les pays partenaires.</w:t>
      </w:r>
      <w:r w:rsidR="0080239D" w:rsidRPr="008C4668">
        <w:t xml:space="preserve">  </w:t>
      </w:r>
    </w:p>
    <w:p w14:paraId="12FF9D72" w14:textId="48220A62" w:rsidR="0080239D" w:rsidRPr="008C4668" w:rsidRDefault="0080239D" w:rsidP="00461E6A">
      <w:pPr>
        <w:spacing w:before="120" w:after="120"/>
      </w:pPr>
      <w:r w:rsidRPr="008C4668">
        <w:t xml:space="preserve">Ce positionnement </w:t>
      </w:r>
      <w:r w:rsidR="00317B4F">
        <w:t>converge largement avec les</w:t>
      </w:r>
      <w:r w:rsidRPr="008C4668">
        <w:t xml:space="preserve"> constats du dernier </w:t>
      </w:r>
      <w:r w:rsidRPr="008C4668">
        <w:rPr>
          <w:b/>
          <w:bCs/>
          <w:i/>
          <w:iCs/>
        </w:rPr>
        <w:t>Adaptation Gap Report</w:t>
      </w:r>
      <w:r w:rsidRPr="008C4668">
        <w:rPr>
          <w:b/>
          <w:bCs/>
        </w:rPr>
        <w:t xml:space="preserve"> 2024 de l’UNEP</w:t>
      </w:r>
      <w:r w:rsidRPr="008C4668">
        <w:t xml:space="preserve">, qui souligne que le financement de l’adaptation demeure largement insuffisant et que l’écart entre besoins et ressources mobilisées reste considérable. Pour combler ce fossé, le rapport met en avant l’importance de renforcer les </w:t>
      </w:r>
      <w:r w:rsidRPr="008C4668">
        <w:rPr>
          <w:b/>
          <w:bCs/>
        </w:rPr>
        <w:t>“facteurs d’activation”</w:t>
      </w:r>
      <w:r w:rsidRPr="008C4668">
        <w:t xml:space="preserve">, c’est-à-dire des environnements propices capables de déclencher des financements additionnels. Il s’agit de passer d’un financement essentiellement </w:t>
      </w:r>
      <w:r w:rsidRPr="008C4668">
        <w:rPr>
          <w:b/>
          <w:bCs/>
        </w:rPr>
        <w:t>réactif et ponctuel</w:t>
      </w:r>
      <w:r w:rsidRPr="008C4668">
        <w:t xml:space="preserve"> à un financement </w:t>
      </w:r>
      <w:r w:rsidRPr="008C4668">
        <w:rPr>
          <w:b/>
          <w:bCs/>
        </w:rPr>
        <w:t>anticipatif, stratégique et transformationnel</w:t>
      </w:r>
      <w:r w:rsidRPr="008C4668">
        <w:t>.</w:t>
      </w:r>
    </w:p>
    <w:p w14:paraId="0223470A" w14:textId="77777777" w:rsidR="0080239D" w:rsidRPr="00461E6A" w:rsidRDefault="0080239D" w:rsidP="00461E6A">
      <w:pPr>
        <w:spacing w:before="120" w:after="120"/>
      </w:pPr>
    </w:p>
    <w:p w14:paraId="12A457DB" w14:textId="77777777" w:rsidR="00461E6A" w:rsidRPr="00461E6A" w:rsidRDefault="00461E6A" w:rsidP="00461E6A">
      <w:pPr>
        <w:spacing w:before="120" w:after="120"/>
        <w:rPr>
          <w:b/>
          <w:bCs/>
        </w:rPr>
      </w:pPr>
      <w:r w:rsidRPr="00461E6A">
        <w:rPr>
          <w:b/>
          <w:bCs/>
        </w:rPr>
        <w:t>3. Principes d’action, modalités et résultats du programme AdaptAction</w:t>
      </w:r>
    </w:p>
    <w:p w14:paraId="45CB2547" w14:textId="77777777" w:rsidR="00461E6A" w:rsidRPr="00461E6A" w:rsidRDefault="00461E6A" w:rsidP="00461E6A">
      <w:pPr>
        <w:spacing w:before="120" w:after="120"/>
      </w:pPr>
      <w:r w:rsidRPr="00461E6A">
        <w:t xml:space="preserve">AdaptAction se fonde sur plusieurs </w:t>
      </w:r>
      <w:r w:rsidRPr="00461E6A">
        <w:rPr>
          <w:b/>
          <w:bCs/>
        </w:rPr>
        <w:t>principes d’intervention</w:t>
      </w:r>
      <w:r w:rsidRPr="00461E6A">
        <w:t xml:space="preserve"> :</w:t>
      </w:r>
    </w:p>
    <w:p w14:paraId="1D6201E4" w14:textId="7E543BCA" w:rsidR="00461E6A" w:rsidRPr="00461E6A" w:rsidRDefault="00461E6A" w:rsidP="00BA25AF">
      <w:pPr>
        <w:numPr>
          <w:ilvl w:val="0"/>
          <w:numId w:val="11"/>
        </w:numPr>
        <w:spacing w:before="120" w:after="120"/>
      </w:pPr>
      <w:r w:rsidRPr="00461E6A">
        <w:rPr>
          <w:b/>
          <w:bCs/>
        </w:rPr>
        <w:t>Appropriation nationale</w:t>
      </w:r>
      <w:r w:rsidRPr="00461E6A">
        <w:t xml:space="preserve"> : les actions sont définies avec les gouvernements</w:t>
      </w:r>
      <w:r w:rsidR="00C8059E">
        <w:t xml:space="preserve"> (avec les ministères de l’Environnement comme chefs de file)</w:t>
      </w:r>
      <w:r w:rsidRPr="00461E6A">
        <w:t xml:space="preserve"> et intégrées dans leurs priorités stratégiques.</w:t>
      </w:r>
    </w:p>
    <w:p w14:paraId="53EF4D49" w14:textId="77777777" w:rsidR="00461E6A" w:rsidRPr="00461E6A" w:rsidRDefault="00461E6A" w:rsidP="00BA25AF">
      <w:pPr>
        <w:numPr>
          <w:ilvl w:val="0"/>
          <w:numId w:val="11"/>
        </w:numPr>
        <w:spacing w:before="120" w:after="120"/>
      </w:pPr>
      <w:r w:rsidRPr="00461E6A">
        <w:rPr>
          <w:b/>
          <w:bCs/>
        </w:rPr>
        <w:t>Approche partenariale et inclusive</w:t>
      </w:r>
      <w:r w:rsidRPr="00461E6A">
        <w:t xml:space="preserve"> : mise en œuvre avec des acteurs étatiques, non étatiques, organisations régionales, société civile, et en synergie avec d’autres bailleurs.</w:t>
      </w:r>
    </w:p>
    <w:p w14:paraId="1E74D1F9" w14:textId="77777777" w:rsidR="00461E6A" w:rsidRPr="00461E6A" w:rsidRDefault="00461E6A" w:rsidP="00BA25AF">
      <w:pPr>
        <w:numPr>
          <w:ilvl w:val="0"/>
          <w:numId w:val="11"/>
        </w:numPr>
        <w:spacing w:before="120" w:after="120"/>
      </w:pPr>
      <w:r w:rsidRPr="00461E6A">
        <w:rPr>
          <w:b/>
          <w:bCs/>
        </w:rPr>
        <w:t>Souplesse et réactivité</w:t>
      </w:r>
      <w:r w:rsidRPr="00461E6A">
        <w:t xml:space="preserve"> : capacité à adapter les appuis en fonction de l’évolution des besoins et contextes politiques ou climatiques.</w:t>
      </w:r>
    </w:p>
    <w:p w14:paraId="02A7F8E1" w14:textId="77777777" w:rsidR="00461E6A" w:rsidRPr="00553D3B" w:rsidRDefault="00461E6A" w:rsidP="00BA25AF">
      <w:pPr>
        <w:numPr>
          <w:ilvl w:val="0"/>
          <w:numId w:val="11"/>
        </w:numPr>
        <w:spacing w:before="120" w:after="120"/>
      </w:pPr>
      <w:r w:rsidRPr="00553D3B">
        <w:rPr>
          <w:b/>
          <w:bCs/>
        </w:rPr>
        <w:t>Intégration du genre et de l’inclusion sociale</w:t>
      </w:r>
      <w:r w:rsidRPr="00553D3B">
        <w:t xml:space="preserve"> : systématisation des analyses genre et appui spécifique pour renforcer la place des femmes et des jeunes dans les politiques et projets d’adaptation.</w:t>
      </w:r>
    </w:p>
    <w:p w14:paraId="78966EAA" w14:textId="77777777" w:rsidR="002C50D8" w:rsidRPr="00461E6A" w:rsidRDefault="002C50D8" w:rsidP="002C50D8">
      <w:pPr>
        <w:spacing w:before="120" w:after="120"/>
        <w:ind w:left="720"/>
      </w:pPr>
    </w:p>
    <w:p w14:paraId="7F0A03EF" w14:textId="02030FC5" w:rsidR="00461E6A" w:rsidRPr="00461E6A" w:rsidRDefault="00461E6A" w:rsidP="00461E6A">
      <w:pPr>
        <w:spacing w:before="120" w:after="120"/>
      </w:pPr>
      <w:r w:rsidRPr="00461E6A">
        <w:t>À ce jour, AdaptAction a permis de</w:t>
      </w:r>
      <w:r w:rsidR="004C5CEB">
        <w:t>puis 2017 (donc Phase 1 et Phase 2)</w:t>
      </w:r>
      <w:r w:rsidRPr="00461E6A">
        <w:t xml:space="preserve"> :</w:t>
      </w:r>
    </w:p>
    <w:p w14:paraId="3E45F4C2" w14:textId="5C793644" w:rsidR="00461E6A" w:rsidRPr="00461E6A" w:rsidRDefault="00461E6A" w:rsidP="00BA25AF">
      <w:pPr>
        <w:numPr>
          <w:ilvl w:val="0"/>
          <w:numId w:val="12"/>
        </w:numPr>
        <w:spacing w:before="120" w:after="120"/>
      </w:pPr>
      <w:r w:rsidRPr="00461E6A">
        <w:t xml:space="preserve">Soutenir plus de </w:t>
      </w:r>
      <w:r w:rsidR="00E472FE">
        <w:rPr>
          <w:b/>
          <w:bCs/>
        </w:rPr>
        <w:t>24</w:t>
      </w:r>
      <w:r w:rsidR="00E472FE" w:rsidRPr="00461E6A">
        <w:rPr>
          <w:b/>
          <w:bCs/>
        </w:rPr>
        <w:t xml:space="preserve"> </w:t>
      </w:r>
      <w:r w:rsidRPr="00461E6A">
        <w:rPr>
          <w:b/>
          <w:bCs/>
        </w:rPr>
        <w:t>pays partenaires</w:t>
      </w:r>
      <w:r w:rsidRPr="00461E6A">
        <w:t xml:space="preserve"> dans l’élaboration </w:t>
      </w:r>
      <w:r w:rsidR="003C5F90" w:rsidRPr="008C4668">
        <w:t xml:space="preserve">et la mise en </w:t>
      </w:r>
      <w:r w:rsidR="00732FD7" w:rsidRPr="008C4668">
        <w:t>œuvre</w:t>
      </w:r>
      <w:r w:rsidRPr="00461E6A">
        <w:t xml:space="preserve"> de leurs stratégies nationales et sectorielles d’adaptation ;</w:t>
      </w:r>
    </w:p>
    <w:p w14:paraId="1CCB96C3" w14:textId="438685D2" w:rsidR="00461E6A" w:rsidRPr="00461E6A" w:rsidRDefault="00461E6A" w:rsidP="00BA25AF">
      <w:pPr>
        <w:numPr>
          <w:ilvl w:val="0"/>
          <w:numId w:val="12"/>
        </w:numPr>
        <w:spacing w:before="120" w:after="120"/>
      </w:pPr>
      <w:r w:rsidRPr="00461E6A">
        <w:t xml:space="preserve">Financer </w:t>
      </w:r>
      <w:r w:rsidR="003C5F90" w:rsidRPr="008C4668">
        <w:t xml:space="preserve">plus </w:t>
      </w:r>
      <w:r w:rsidR="00E472FE">
        <w:t>89</w:t>
      </w:r>
      <w:r w:rsidR="00E472FE" w:rsidRPr="008C4668">
        <w:t xml:space="preserve"> </w:t>
      </w:r>
      <w:r w:rsidR="003C5F90" w:rsidRPr="008C4668">
        <w:t xml:space="preserve">appuis </w:t>
      </w:r>
      <w:r w:rsidRPr="00461E6A">
        <w:t>(eau, agriculture, littoraux, villes résilientes, santé, biodiversité) ;</w:t>
      </w:r>
    </w:p>
    <w:p w14:paraId="496379FA" w14:textId="77777777" w:rsidR="00461E6A" w:rsidRPr="00461E6A" w:rsidRDefault="00461E6A" w:rsidP="00BA25AF">
      <w:pPr>
        <w:numPr>
          <w:ilvl w:val="0"/>
          <w:numId w:val="12"/>
        </w:numPr>
        <w:spacing w:before="120" w:after="120"/>
      </w:pPr>
      <w:r w:rsidRPr="00461E6A">
        <w:t xml:space="preserve">Former plusieurs centaines de </w:t>
      </w:r>
      <w:r w:rsidRPr="00461E6A">
        <w:rPr>
          <w:b/>
          <w:bCs/>
        </w:rPr>
        <w:t>fonctionnaires, experts et acteurs locaux</w:t>
      </w:r>
      <w:r w:rsidRPr="00461E6A">
        <w:t xml:space="preserve"> aux enjeux d’adaptation ;</w:t>
      </w:r>
    </w:p>
    <w:p w14:paraId="084B3C12" w14:textId="77777777" w:rsidR="00461E6A" w:rsidRPr="008C4668" w:rsidRDefault="00461E6A" w:rsidP="00BA25AF">
      <w:pPr>
        <w:numPr>
          <w:ilvl w:val="0"/>
          <w:numId w:val="12"/>
        </w:numPr>
        <w:spacing w:before="120" w:after="120"/>
      </w:pPr>
      <w:r w:rsidRPr="00461E6A">
        <w:t xml:space="preserve">Intégrer les dimensions </w:t>
      </w:r>
      <w:r w:rsidRPr="00461E6A">
        <w:rPr>
          <w:b/>
          <w:bCs/>
        </w:rPr>
        <w:t>genre et inclusion</w:t>
      </w:r>
      <w:r w:rsidRPr="00461E6A">
        <w:t xml:space="preserve"> dans la majorité des interventions (ex. diagnostics sensibles au genre, formations spécifiques, promotion du leadership féminin).</w:t>
      </w:r>
    </w:p>
    <w:p w14:paraId="7BD334F0" w14:textId="2A88CA17" w:rsidR="002C50D8" w:rsidRPr="00461E6A" w:rsidRDefault="002C50D8" w:rsidP="00BA25AF">
      <w:pPr>
        <w:numPr>
          <w:ilvl w:val="0"/>
          <w:numId w:val="12"/>
        </w:numPr>
        <w:spacing w:before="120" w:after="120"/>
      </w:pPr>
      <w:r w:rsidRPr="008C4668">
        <w:t xml:space="preserve">Générer un effet levier de près de 850 M€ </w:t>
      </w:r>
    </w:p>
    <w:p w14:paraId="494C469F" w14:textId="52E74629" w:rsidR="00461E6A" w:rsidRDefault="00461E6A" w:rsidP="00461E6A">
      <w:pPr>
        <w:spacing w:before="120" w:after="120"/>
      </w:pPr>
      <w:r w:rsidRPr="00461E6A">
        <w:t>En phase 2 (202</w:t>
      </w:r>
      <w:r w:rsidR="004C5CEB">
        <w:t>2-</w:t>
      </w:r>
      <w:r w:rsidRPr="00461E6A">
        <w:t>202</w:t>
      </w:r>
      <w:r w:rsidR="004C5CEB">
        <w:t>6</w:t>
      </w:r>
      <w:r w:rsidRPr="00461E6A">
        <w:t>), AdaptAction ambitionne de consolider les acquis, d’</w:t>
      </w:r>
      <w:r w:rsidRPr="00461E6A">
        <w:rPr>
          <w:b/>
          <w:bCs/>
        </w:rPr>
        <w:t>accélérer la mise en œuvre concrète</w:t>
      </w:r>
      <w:r w:rsidRPr="00461E6A">
        <w:t xml:space="preserve"> de projets structurants, et de renforcer la mobilisation des financements climat en faveur de l’adaptation.</w:t>
      </w:r>
    </w:p>
    <w:p w14:paraId="0A3FB503" w14:textId="7060A12F" w:rsidR="00C8059E" w:rsidRPr="00461E6A" w:rsidRDefault="00C8059E" w:rsidP="00461E6A">
      <w:pPr>
        <w:spacing w:before="120" w:after="120"/>
      </w:pPr>
      <w:r>
        <w:t>Voir [adresse site public] pour plus de détails</w:t>
      </w:r>
    </w:p>
    <w:p w14:paraId="0B1C7F5C" w14:textId="77777777" w:rsidR="00461E6A" w:rsidRPr="008C4668" w:rsidRDefault="00461E6A">
      <w:pPr>
        <w:spacing w:before="120" w:after="120"/>
      </w:pPr>
    </w:p>
    <w:p w14:paraId="29AE629A" w14:textId="7DE9A755" w:rsidR="00D136D0" w:rsidRPr="008C4668" w:rsidRDefault="00EE44F4">
      <w:pPr>
        <w:spacing w:before="120" w:after="120"/>
        <w:rPr>
          <w:b/>
          <w:bCs/>
        </w:rPr>
      </w:pPr>
      <w:r w:rsidRPr="008C4668">
        <w:rPr>
          <w:b/>
          <w:bCs/>
        </w:rPr>
        <w:t>Les parties prenantes de AdaptAction</w:t>
      </w:r>
    </w:p>
    <w:p w14:paraId="219BBB36" w14:textId="77777777" w:rsidR="00EE44F4" w:rsidRPr="008C4668" w:rsidRDefault="00EE44F4" w:rsidP="00BA25AF">
      <w:pPr>
        <w:pStyle w:val="Liste4"/>
        <w:numPr>
          <w:ilvl w:val="0"/>
          <w:numId w:val="17"/>
        </w:numPr>
        <w:rPr>
          <w:rFonts w:ascii="Roboto" w:hAnsi="Roboto"/>
          <w:i w:val="0"/>
          <w:sz w:val="22"/>
          <w:szCs w:val="22"/>
          <w:u w:val="single"/>
        </w:rPr>
      </w:pPr>
      <w:r w:rsidRPr="008C4668">
        <w:rPr>
          <w:rFonts w:ascii="Roboto" w:hAnsi="Roboto"/>
          <w:i w:val="0"/>
          <w:sz w:val="22"/>
          <w:szCs w:val="22"/>
          <w:u w:val="single"/>
        </w:rPr>
        <w:t>Pays partenaires</w:t>
      </w:r>
    </w:p>
    <w:p w14:paraId="6E69C88D" w14:textId="16ECEA2C" w:rsidR="00EE44F4" w:rsidRPr="008C4668" w:rsidRDefault="00EE44F4" w:rsidP="00EE44F4">
      <w:pPr>
        <w:pStyle w:val="Liste4"/>
        <w:ind w:left="0"/>
        <w:rPr>
          <w:rFonts w:ascii="Roboto" w:hAnsi="Roboto"/>
          <w:i w:val="0"/>
          <w:sz w:val="22"/>
          <w:szCs w:val="22"/>
        </w:rPr>
      </w:pPr>
      <w:r w:rsidRPr="008C4668">
        <w:rPr>
          <w:rFonts w:ascii="Roboto" w:hAnsi="Roboto"/>
          <w:i w:val="0"/>
          <w:sz w:val="22"/>
          <w:szCs w:val="22"/>
        </w:rPr>
        <w:t xml:space="preserve">L’appropriation du projet </w:t>
      </w:r>
      <w:r w:rsidR="002C50D8" w:rsidRPr="008C4668">
        <w:rPr>
          <w:rFonts w:ascii="Roboto" w:hAnsi="Roboto"/>
          <w:i w:val="0"/>
          <w:sz w:val="22"/>
          <w:szCs w:val="22"/>
        </w:rPr>
        <w:t>est</w:t>
      </w:r>
      <w:r w:rsidRPr="008C4668">
        <w:rPr>
          <w:rFonts w:ascii="Roboto" w:hAnsi="Roboto"/>
          <w:i w:val="0"/>
          <w:sz w:val="22"/>
          <w:szCs w:val="22"/>
        </w:rPr>
        <w:t xml:space="preserve"> favorisée par :</w:t>
      </w:r>
    </w:p>
    <w:p w14:paraId="6B3FC36E" w14:textId="4EF6E34B" w:rsidR="00EE44F4" w:rsidRPr="008C4668" w:rsidRDefault="00EE44F4" w:rsidP="00BA25AF">
      <w:pPr>
        <w:pStyle w:val="Liste4"/>
        <w:numPr>
          <w:ilvl w:val="0"/>
          <w:numId w:val="18"/>
        </w:numPr>
        <w:rPr>
          <w:rFonts w:ascii="Roboto" w:hAnsi="Roboto"/>
          <w:i w:val="0"/>
          <w:sz w:val="22"/>
          <w:szCs w:val="22"/>
        </w:rPr>
      </w:pPr>
      <w:proofErr w:type="gramStart"/>
      <w:r w:rsidRPr="008C4668">
        <w:rPr>
          <w:rFonts w:ascii="Roboto" w:hAnsi="Roboto"/>
          <w:i w:val="0"/>
          <w:sz w:val="22"/>
          <w:szCs w:val="22"/>
        </w:rPr>
        <w:t>un</w:t>
      </w:r>
      <w:proofErr w:type="gramEnd"/>
      <w:r w:rsidRPr="008C4668">
        <w:rPr>
          <w:rFonts w:ascii="Roboto" w:hAnsi="Roboto"/>
          <w:i w:val="0"/>
          <w:sz w:val="22"/>
          <w:szCs w:val="22"/>
        </w:rPr>
        <w:t xml:space="preserve"> Protocole d’Entente ou des lettres de requêtes de la part des Ministères concernés en ligne avec les CDN révisées, stratégies et Communications d’adaptation ;</w:t>
      </w:r>
    </w:p>
    <w:p w14:paraId="5F5E2BB1" w14:textId="77777777" w:rsidR="002C50D8" w:rsidRPr="008C4668" w:rsidRDefault="00EE44F4" w:rsidP="00BA25AF">
      <w:pPr>
        <w:pStyle w:val="Liste4"/>
        <w:numPr>
          <w:ilvl w:val="0"/>
          <w:numId w:val="18"/>
        </w:numPr>
        <w:rPr>
          <w:rFonts w:ascii="Roboto" w:hAnsi="Roboto"/>
          <w:i w:val="0"/>
          <w:sz w:val="22"/>
          <w:szCs w:val="22"/>
        </w:rPr>
      </w:pPr>
      <w:proofErr w:type="gramStart"/>
      <w:r w:rsidRPr="008C4668">
        <w:rPr>
          <w:rFonts w:ascii="Roboto" w:hAnsi="Roboto"/>
          <w:i w:val="0"/>
          <w:sz w:val="22"/>
          <w:szCs w:val="22"/>
        </w:rPr>
        <w:t>un</w:t>
      </w:r>
      <w:proofErr w:type="gramEnd"/>
      <w:r w:rsidRPr="008C4668">
        <w:rPr>
          <w:rFonts w:ascii="Roboto" w:hAnsi="Roboto"/>
          <w:i w:val="0"/>
          <w:sz w:val="22"/>
          <w:szCs w:val="22"/>
        </w:rPr>
        <w:t xml:space="preserve"> point focal AdaptAction au Ministère de l’Environnement</w:t>
      </w:r>
      <w:r w:rsidR="002C50D8" w:rsidRPr="008C4668">
        <w:rPr>
          <w:rFonts w:ascii="Roboto" w:hAnsi="Roboto"/>
          <w:i w:val="0"/>
          <w:sz w:val="22"/>
          <w:szCs w:val="22"/>
        </w:rPr>
        <w:t xml:space="preserve"> </w:t>
      </w:r>
    </w:p>
    <w:p w14:paraId="73C5107E" w14:textId="77777777" w:rsidR="002C50D8" w:rsidRPr="008C4668" w:rsidRDefault="002C50D8" w:rsidP="00BA25AF">
      <w:pPr>
        <w:pStyle w:val="Liste4"/>
        <w:numPr>
          <w:ilvl w:val="0"/>
          <w:numId w:val="18"/>
        </w:numPr>
        <w:rPr>
          <w:rFonts w:ascii="Roboto" w:hAnsi="Roboto"/>
          <w:i w:val="0"/>
          <w:sz w:val="22"/>
          <w:szCs w:val="22"/>
        </w:rPr>
      </w:pPr>
      <w:r w:rsidRPr="008C4668">
        <w:rPr>
          <w:rFonts w:ascii="Roboto" w:hAnsi="Roboto"/>
          <w:i w:val="0"/>
          <w:sz w:val="22"/>
          <w:szCs w:val="22"/>
        </w:rPr>
        <w:t>Un référent AdaptAction au sein d’un ministère sectoriel en fonction de la thématique de l’appui</w:t>
      </w:r>
    </w:p>
    <w:p w14:paraId="15F3F527" w14:textId="77777777" w:rsidR="00EE44F4" w:rsidRPr="008C4668" w:rsidRDefault="00EE44F4" w:rsidP="00BA25AF">
      <w:pPr>
        <w:pStyle w:val="Liste4"/>
        <w:numPr>
          <w:ilvl w:val="0"/>
          <w:numId w:val="18"/>
        </w:numPr>
        <w:rPr>
          <w:rFonts w:ascii="Roboto" w:hAnsi="Roboto"/>
          <w:i w:val="0"/>
          <w:sz w:val="22"/>
          <w:szCs w:val="22"/>
        </w:rPr>
      </w:pPr>
      <w:proofErr w:type="gramStart"/>
      <w:r w:rsidRPr="008C4668">
        <w:rPr>
          <w:rFonts w:ascii="Roboto" w:hAnsi="Roboto"/>
          <w:i w:val="0"/>
          <w:sz w:val="22"/>
          <w:szCs w:val="22"/>
        </w:rPr>
        <w:t>des</w:t>
      </w:r>
      <w:proofErr w:type="gramEnd"/>
      <w:r w:rsidRPr="008C4668">
        <w:rPr>
          <w:rFonts w:ascii="Roboto" w:hAnsi="Roboto"/>
          <w:i w:val="0"/>
          <w:sz w:val="22"/>
          <w:szCs w:val="22"/>
        </w:rPr>
        <w:t xml:space="preserve"> comités de suivi nationaux et des comités de suivi ad hoc par appui ;</w:t>
      </w:r>
    </w:p>
    <w:p w14:paraId="4B108C45" w14:textId="2189235C" w:rsidR="00EE44F4" w:rsidRPr="008C4668" w:rsidRDefault="00EE44F4" w:rsidP="00BA25AF">
      <w:pPr>
        <w:pStyle w:val="Liste4"/>
        <w:numPr>
          <w:ilvl w:val="0"/>
          <w:numId w:val="18"/>
        </w:numPr>
        <w:rPr>
          <w:rFonts w:ascii="Roboto" w:hAnsi="Roboto"/>
          <w:i w:val="0"/>
          <w:sz w:val="22"/>
          <w:szCs w:val="22"/>
        </w:rPr>
      </w:pPr>
      <w:proofErr w:type="gramStart"/>
      <w:r w:rsidRPr="008C4668">
        <w:rPr>
          <w:rFonts w:ascii="Roboto" w:hAnsi="Roboto"/>
          <w:i w:val="0"/>
          <w:sz w:val="22"/>
          <w:szCs w:val="22"/>
        </w:rPr>
        <w:t>la</w:t>
      </w:r>
      <w:proofErr w:type="gramEnd"/>
      <w:r w:rsidRPr="008C4668">
        <w:rPr>
          <w:rFonts w:ascii="Roboto" w:hAnsi="Roboto"/>
          <w:i w:val="0"/>
          <w:sz w:val="22"/>
          <w:szCs w:val="22"/>
        </w:rPr>
        <w:t xml:space="preserve"> mobilisation et les renforcement</w:t>
      </w:r>
      <w:r w:rsidR="00C8059E">
        <w:rPr>
          <w:rFonts w:ascii="Roboto" w:hAnsi="Roboto"/>
          <w:i w:val="0"/>
          <w:sz w:val="22"/>
          <w:szCs w:val="22"/>
        </w:rPr>
        <w:t>s</w:t>
      </w:r>
      <w:r w:rsidRPr="008C4668">
        <w:rPr>
          <w:rFonts w:ascii="Roboto" w:hAnsi="Roboto"/>
          <w:i w:val="0"/>
          <w:sz w:val="22"/>
          <w:szCs w:val="22"/>
        </w:rPr>
        <w:t xml:space="preserve"> de capacités de l’expertise nationale sous les 3 axes.</w:t>
      </w:r>
    </w:p>
    <w:p w14:paraId="54E20842" w14:textId="77777777" w:rsidR="00EE44F4" w:rsidRPr="008C4668" w:rsidRDefault="00EE44F4" w:rsidP="00BA25AF">
      <w:pPr>
        <w:pStyle w:val="Liste4"/>
        <w:numPr>
          <w:ilvl w:val="0"/>
          <w:numId w:val="17"/>
        </w:numPr>
        <w:rPr>
          <w:rFonts w:ascii="Roboto" w:hAnsi="Roboto"/>
          <w:i w:val="0"/>
          <w:sz w:val="22"/>
          <w:szCs w:val="22"/>
          <w:u w:val="single"/>
        </w:rPr>
      </w:pPr>
      <w:r w:rsidRPr="008C4668">
        <w:rPr>
          <w:rFonts w:ascii="Roboto" w:hAnsi="Roboto"/>
          <w:i w:val="0"/>
          <w:sz w:val="22"/>
          <w:szCs w:val="22"/>
          <w:u w:val="single"/>
        </w:rPr>
        <w:t xml:space="preserve">Coordinateurs régionaux (mobilisés </w:t>
      </w:r>
      <w:r w:rsidRPr="008C4668">
        <w:rPr>
          <w:rFonts w:ascii="Roboto" w:hAnsi="Roboto"/>
          <w:sz w:val="22"/>
          <w:szCs w:val="22"/>
          <w:u w:val="single"/>
        </w:rPr>
        <w:t>via</w:t>
      </w:r>
      <w:r w:rsidRPr="008C4668">
        <w:rPr>
          <w:rFonts w:ascii="Roboto" w:hAnsi="Roboto"/>
          <w:i w:val="0"/>
          <w:sz w:val="22"/>
          <w:szCs w:val="22"/>
          <w:u w:val="single"/>
        </w:rPr>
        <w:t xml:space="preserve"> Expertise France)</w:t>
      </w:r>
    </w:p>
    <w:p w14:paraId="7E63B9F8" w14:textId="207365D1" w:rsidR="00EE44F4" w:rsidRPr="008C4668" w:rsidRDefault="00C8059E" w:rsidP="00EE44F4">
      <w:pPr>
        <w:pStyle w:val="Liste4"/>
        <w:ind w:left="0"/>
        <w:rPr>
          <w:rFonts w:ascii="Roboto" w:hAnsi="Roboto"/>
          <w:i w:val="0"/>
          <w:sz w:val="22"/>
          <w:szCs w:val="22"/>
        </w:rPr>
      </w:pPr>
      <w:r>
        <w:rPr>
          <w:rFonts w:ascii="Roboto" w:hAnsi="Roboto"/>
          <w:i w:val="0"/>
          <w:sz w:val="22"/>
          <w:szCs w:val="22"/>
        </w:rPr>
        <w:t>D</w:t>
      </w:r>
      <w:r w:rsidR="00EE44F4" w:rsidRPr="008C4668">
        <w:rPr>
          <w:rFonts w:ascii="Roboto" w:hAnsi="Roboto"/>
          <w:i w:val="0"/>
          <w:sz w:val="22"/>
          <w:szCs w:val="22"/>
        </w:rPr>
        <w:t>es Coordinateurs Régionaux AdaptAction</w:t>
      </w:r>
      <w:r w:rsidR="00D136D0" w:rsidRPr="008C4668">
        <w:rPr>
          <w:rFonts w:ascii="Roboto" w:hAnsi="Roboto"/>
          <w:i w:val="0"/>
          <w:sz w:val="22"/>
          <w:szCs w:val="22"/>
        </w:rPr>
        <w:t xml:space="preserve"> ont</w:t>
      </w:r>
      <w:r w:rsidR="00EE44F4" w:rsidRPr="008C4668">
        <w:rPr>
          <w:rFonts w:ascii="Roboto" w:hAnsi="Roboto"/>
          <w:i w:val="0"/>
          <w:sz w:val="22"/>
          <w:szCs w:val="22"/>
        </w:rPr>
        <w:t xml:space="preserve"> </w:t>
      </w:r>
      <w:r>
        <w:rPr>
          <w:rFonts w:ascii="Roboto" w:hAnsi="Roboto"/>
          <w:i w:val="0"/>
          <w:sz w:val="22"/>
          <w:szCs w:val="22"/>
        </w:rPr>
        <w:t xml:space="preserve">été </w:t>
      </w:r>
      <w:r w:rsidR="00D136D0" w:rsidRPr="008C4668">
        <w:rPr>
          <w:rFonts w:ascii="Roboto" w:hAnsi="Roboto"/>
          <w:i w:val="0"/>
          <w:sz w:val="22"/>
          <w:szCs w:val="22"/>
        </w:rPr>
        <w:t>mobilisé</w:t>
      </w:r>
      <w:r>
        <w:rPr>
          <w:rFonts w:ascii="Roboto" w:hAnsi="Roboto"/>
          <w:i w:val="0"/>
          <w:sz w:val="22"/>
          <w:szCs w:val="22"/>
        </w:rPr>
        <w:t>s</w:t>
      </w:r>
      <w:r w:rsidR="00EE44F4" w:rsidRPr="008C4668">
        <w:rPr>
          <w:rFonts w:ascii="Roboto" w:hAnsi="Roboto"/>
          <w:i w:val="0"/>
          <w:sz w:val="22"/>
          <w:szCs w:val="22"/>
        </w:rPr>
        <w:t xml:space="preserve"> à la suite d’une profonde réorganisation du projet en 2018</w:t>
      </w:r>
      <w:r w:rsidR="00D136D0" w:rsidRPr="008C4668">
        <w:rPr>
          <w:rFonts w:ascii="Roboto" w:hAnsi="Roboto"/>
          <w:i w:val="0"/>
          <w:sz w:val="22"/>
          <w:szCs w:val="22"/>
        </w:rPr>
        <w:t xml:space="preserve"> </w:t>
      </w:r>
      <w:r w:rsidR="00EE44F4" w:rsidRPr="008C4668">
        <w:rPr>
          <w:rFonts w:ascii="Roboto" w:hAnsi="Roboto"/>
          <w:i w:val="0"/>
          <w:sz w:val="22"/>
          <w:szCs w:val="22"/>
        </w:rPr>
        <w:t xml:space="preserve">pour </w:t>
      </w:r>
      <w:r>
        <w:rPr>
          <w:rFonts w:ascii="Roboto" w:hAnsi="Roboto"/>
          <w:i w:val="0"/>
          <w:sz w:val="22"/>
          <w:szCs w:val="22"/>
        </w:rPr>
        <w:t xml:space="preserve">accompagner </w:t>
      </w:r>
      <w:r w:rsidR="00D136D0" w:rsidRPr="008C4668">
        <w:rPr>
          <w:rFonts w:ascii="Roboto" w:hAnsi="Roboto"/>
          <w:i w:val="0"/>
          <w:sz w:val="22"/>
          <w:szCs w:val="22"/>
        </w:rPr>
        <w:t xml:space="preserve">le programme </w:t>
      </w:r>
      <w:r w:rsidR="00EE44F4" w:rsidRPr="008C4668">
        <w:rPr>
          <w:rFonts w:ascii="Roboto" w:hAnsi="Roboto"/>
          <w:i w:val="0"/>
          <w:sz w:val="22"/>
          <w:szCs w:val="22"/>
        </w:rPr>
        <w:t>sur le terrain. En lien avec agence, DR et équipe siège, ils participent à la définition, à la mise en œuvre et au suivi des activités d</w:t>
      </w:r>
      <w:r w:rsidR="002C50D8" w:rsidRPr="008C4668">
        <w:rPr>
          <w:rFonts w:ascii="Roboto" w:hAnsi="Roboto"/>
          <w:i w:val="0"/>
          <w:sz w:val="22"/>
          <w:szCs w:val="22"/>
        </w:rPr>
        <w:t xml:space="preserve">u programme. Ils </w:t>
      </w:r>
      <w:r w:rsidR="00EE44F4" w:rsidRPr="008C4668">
        <w:rPr>
          <w:rFonts w:ascii="Roboto" w:hAnsi="Roboto"/>
          <w:i w:val="0"/>
          <w:sz w:val="22"/>
          <w:szCs w:val="22"/>
        </w:rPr>
        <w:t>travaillent au plus près de chacune des instances nationales en charge de suivre la mise en œuvre des CDN et en co-construction avec le point focal national désigné.</w:t>
      </w:r>
    </w:p>
    <w:p w14:paraId="622794FD" w14:textId="77777777" w:rsidR="00D136D0" w:rsidRPr="00D136D0" w:rsidRDefault="00D136D0" w:rsidP="00D136D0">
      <w:pPr>
        <w:pStyle w:val="Liste4"/>
        <w:ind w:left="0"/>
        <w:rPr>
          <w:rFonts w:ascii="Roboto" w:hAnsi="Roboto"/>
          <w:i w:val="0"/>
          <w:sz w:val="22"/>
          <w:szCs w:val="22"/>
        </w:rPr>
      </w:pPr>
      <w:r w:rsidRPr="00D136D0">
        <w:rPr>
          <w:rFonts w:ascii="Roboto" w:hAnsi="Roboto"/>
          <w:i w:val="0"/>
          <w:sz w:val="22"/>
          <w:szCs w:val="22"/>
        </w:rPr>
        <w:t>Aujourd’hui, le dispositif compte six Coordinateurs Régionaux :</w:t>
      </w:r>
    </w:p>
    <w:p w14:paraId="238B94CA" w14:textId="77777777" w:rsidR="00D136D0" w:rsidRPr="00D136D0" w:rsidRDefault="00D136D0" w:rsidP="00BA25AF">
      <w:pPr>
        <w:pStyle w:val="Liste4"/>
        <w:numPr>
          <w:ilvl w:val="0"/>
          <w:numId w:val="37"/>
        </w:numPr>
        <w:rPr>
          <w:rFonts w:ascii="Roboto" w:hAnsi="Roboto"/>
          <w:i w:val="0"/>
          <w:sz w:val="22"/>
          <w:szCs w:val="22"/>
        </w:rPr>
      </w:pPr>
      <w:r w:rsidRPr="00D136D0">
        <w:rPr>
          <w:rFonts w:ascii="Roboto" w:hAnsi="Roboto"/>
          <w:i w:val="0"/>
          <w:sz w:val="22"/>
          <w:szCs w:val="22"/>
        </w:rPr>
        <w:t>Afrique Centrale : Cameroun, RDC, Congo – basé à Kinshasa ;</w:t>
      </w:r>
    </w:p>
    <w:p w14:paraId="3CD7CBEB" w14:textId="77777777" w:rsidR="00D136D0" w:rsidRPr="00D136D0" w:rsidRDefault="00D136D0" w:rsidP="00BA25AF">
      <w:pPr>
        <w:pStyle w:val="Liste4"/>
        <w:numPr>
          <w:ilvl w:val="0"/>
          <w:numId w:val="37"/>
        </w:numPr>
        <w:rPr>
          <w:rFonts w:ascii="Roboto" w:hAnsi="Roboto"/>
          <w:i w:val="0"/>
          <w:sz w:val="22"/>
          <w:szCs w:val="22"/>
        </w:rPr>
      </w:pPr>
      <w:r w:rsidRPr="00D136D0">
        <w:rPr>
          <w:rFonts w:ascii="Roboto" w:hAnsi="Roboto"/>
          <w:i w:val="0"/>
          <w:sz w:val="22"/>
          <w:szCs w:val="22"/>
        </w:rPr>
        <w:t>Golfe de Guinée : Togo, Bénin, Guinée – basé à Cotonou ;</w:t>
      </w:r>
    </w:p>
    <w:p w14:paraId="3DB6DB9A" w14:textId="77777777" w:rsidR="00D136D0" w:rsidRPr="00D136D0" w:rsidRDefault="00D136D0" w:rsidP="00BA25AF">
      <w:pPr>
        <w:pStyle w:val="Liste4"/>
        <w:numPr>
          <w:ilvl w:val="0"/>
          <w:numId w:val="37"/>
        </w:numPr>
        <w:rPr>
          <w:rFonts w:ascii="Roboto" w:hAnsi="Roboto"/>
          <w:i w:val="0"/>
          <w:sz w:val="22"/>
          <w:szCs w:val="22"/>
        </w:rPr>
      </w:pPr>
      <w:r w:rsidRPr="00D136D0">
        <w:rPr>
          <w:rFonts w:ascii="Roboto" w:hAnsi="Roboto"/>
          <w:i w:val="0"/>
          <w:sz w:val="22"/>
          <w:szCs w:val="22"/>
        </w:rPr>
        <w:t>Grand Sahel : Sénégal, Gambie, Mauritanie (nouveau pays à partir de sept. 2025) – basé à Dakar ;</w:t>
      </w:r>
    </w:p>
    <w:p w14:paraId="2B1365A2" w14:textId="77777777" w:rsidR="00D136D0" w:rsidRPr="00D136D0" w:rsidRDefault="00D136D0" w:rsidP="00BA25AF">
      <w:pPr>
        <w:pStyle w:val="Liste4"/>
        <w:numPr>
          <w:ilvl w:val="0"/>
          <w:numId w:val="37"/>
        </w:numPr>
        <w:rPr>
          <w:rFonts w:ascii="Roboto" w:hAnsi="Roboto"/>
          <w:i w:val="0"/>
          <w:sz w:val="22"/>
          <w:szCs w:val="22"/>
        </w:rPr>
      </w:pPr>
      <w:r w:rsidRPr="00D136D0">
        <w:rPr>
          <w:rFonts w:ascii="Roboto" w:hAnsi="Roboto"/>
          <w:i w:val="0"/>
          <w:sz w:val="22"/>
          <w:szCs w:val="22"/>
        </w:rPr>
        <w:lastRenderedPageBreak/>
        <w:t>Océan Indien : Maurice, Comores, Madagascar – basé à Port-Louis ;</w:t>
      </w:r>
    </w:p>
    <w:p w14:paraId="222EC4A8" w14:textId="77777777" w:rsidR="00D136D0" w:rsidRPr="00D136D0" w:rsidRDefault="00D136D0" w:rsidP="00BA25AF">
      <w:pPr>
        <w:pStyle w:val="Liste4"/>
        <w:numPr>
          <w:ilvl w:val="0"/>
          <w:numId w:val="37"/>
        </w:numPr>
        <w:rPr>
          <w:rFonts w:ascii="Roboto" w:hAnsi="Roboto"/>
          <w:i w:val="0"/>
          <w:sz w:val="22"/>
          <w:szCs w:val="22"/>
        </w:rPr>
      </w:pPr>
      <w:r w:rsidRPr="00D136D0">
        <w:rPr>
          <w:rFonts w:ascii="Roboto" w:hAnsi="Roboto"/>
          <w:i w:val="0"/>
          <w:sz w:val="22"/>
          <w:szCs w:val="22"/>
        </w:rPr>
        <w:t>Afrique du Nord (extension) : Maroc, Tunisie, Égypte – basé à Rabat ;</w:t>
      </w:r>
    </w:p>
    <w:p w14:paraId="773B1B79" w14:textId="77777777" w:rsidR="00D136D0" w:rsidRPr="00D136D0" w:rsidRDefault="00D136D0" w:rsidP="00BA25AF">
      <w:pPr>
        <w:pStyle w:val="Liste4"/>
        <w:numPr>
          <w:ilvl w:val="0"/>
          <w:numId w:val="37"/>
        </w:numPr>
        <w:rPr>
          <w:rFonts w:ascii="Roboto" w:hAnsi="Roboto"/>
          <w:i w:val="0"/>
          <w:sz w:val="22"/>
          <w:szCs w:val="22"/>
        </w:rPr>
      </w:pPr>
      <w:r w:rsidRPr="00D136D0">
        <w:rPr>
          <w:rFonts w:ascii="Roboto" w:hAnsi="Roboto"/>
          <w:i w:val="0"/>
          <w:sz w:val="22"/>
          <w:szCs w:val="22"/>
        </w:rPr>
        <w:t>Moyen-Orient : Palestine, Jordanie, Liban – basé à Amman.</w:t>
      </w:r>
    </w:p>
    <w:p w14:paraId="325B8783" w14:textId="77777777" w:rsidR="00D136D0" w:rsidRPr="008C4668" w:rsidRDefault="00D136D0" w:rsidP="00EE44F4">
      <w:pPr>
        <w:pStyle w:val="Liste4"/>
        <w:ind w:left="0"/>
        <w:rPr>
          <w:rFonts w:ascii="Roboto" w:hAnsi="Roboto"/>
          <w:i w:val="0"/>
          <w:sz w:val="22"/>
          <w:szCs w:val="22"/>
          <w:highlight w:val="yellow"/>
        </w:rPr>
      </w:pPr>
    </w:p>
    <w:p w14:paraId="074E7D7B" w14:textId="6FC526B4" w:rsidR="00EE44F4" w:rsidRPr="008C4668" w:rsidRDefault="00EE44F4" w:rsidP="00BA25AF">
      <w:pPr>
        <w:pStyle w:val="Liste4"/>
        <w:numPr>
          <w:ilvl w:val="0"/>
          <w:numId w:val="17"/>
        </w:numPr>
        <w:rPr>
          <w:rFonts w:ascii="Roboto" w:hAnsi="Roboto"/>
          <w:i w:val="0"/>
          <w:sz w:val="22"/>
          <w:szCs w:val="22"/>
          <w:u w:val="single"/>
        </w:rPr>
      </w:pPr>
      <w:r w:rsidRPr="008C4668">
        <w:rPr>
          <w:rFonts w:ascii="Roboto" w:hAnsi="Roboto"/>
          <w:i w:val="0"/>
          <w:sz w:val="22"/>
          <w:szCs w:val="22"/>
          <w:u w:val="single"/>
        </w:rPr>
        <w:t xml:space="preserve">Equipe AdaptAction siège </w:t>
      </w:r>
    </w:p>
    <w:p w14:paraId="0C6DC39F" w14:textId="0615B8FE" w:rsidR="00D136D0" w:rsidRPr="008C4668" w:rsidRDefault="00D136D0" w:rsidP="00D136D0">
      <w:pPr>
        <w:pStyle w:val="Liste4"/>
        <w:ind w:left="0"/>
        <w:rPr>
          <w:rFonts w:ascii="Roboto" w:hAnsi="Roboto"/>
          <w:i w:val="0"/>
          <w:sz w:val="22"/>
          <w:szCs w:val="22"/>
        </w:rPr>
      </w:pPr>
      <w:r w:rsidRPr="008C4668">
        <w:rPr>
          <w:rFonts w:ascii="Roboto" w:hAnsi="Roboto"/>
          <w:i w:val="0"/>
          <w:sz w:val="22"/>
          <w:szCs w:val="22"/>
        </w:rPr>
        <w:t xml:space="preserve">L’équipe siège </w:t>
      </w:r>
      <w:proofErr w:type="gramStart"/>
      <w:r w:rsidRPr="008C4668">
        <w:rPr>
          <w:rFonts w:ascii="Roboto" w:hAnsi="Roboto"/>
          <w:i w:val="0"/>
          <w:sz w:val="22"/>
          <w:szCs w:val="22"/>
        </w:rPr>
        <w:t>est</w:t>
      </w:r>
      <w:proofErr w:type="gramEnd"/>
      <w:r w:rsidRPr="008C4668">
        <w:rPr>
          <w:rFonts w:ascii="Roboto" w:hAnsi="Roboto"/>
          <w:i w:val="0"/>
          <w:sz w:val="22"/>
          <w:szCs w:val="22"/>
        </w:rPr>
        <w:t xml:space="preserve"> composée d’une Responsable de programme</w:t>
      </w:r>
      <w:r w:rsidR="00C8059E">
        <w:rPr>
          <w:rFonts w:ascii="Roboto" w:hAnsi="Roboto"/>
          <w:i w:val="0"/>
          <w:sz w:val="22"/>
          <w:szCs w:val="22"/>
        </w:rPr>
        <w:t>, agent AFD</w:t>
      </w:r>
      <w:r w:rsidRPr="008C4668">
        <w:rPr>
          <w:rFonts w:ascii="Roboto" w:hAnsi="Roboto"/>
          <w:i w:val="0"/>
          <w:sz w:val="22"/>
          <w:szCs w:val="22"/>
        </w:rPr>
        <w:t>, d’une Adjointe et d’un Responsable administratif et financier (toutes les deux recrutées par Expertise France)</w:t>
      </w:r>
      <w:r w:rsidR="00C8059E">
        <w:rPr>
          <w:rFonts w:ascii="Roboto" w:hAnsi="Roboto"/>
          <w:i w:val="0"/>
          <w:sz w:val="22"/>
          <w:szCs w:val="22"/>
        </w:rPr>
        <w:t>. Cette équipe est</w:t>
      </w:r>
      <w:r w:rsidRPr="008C4668">
        <w:rPr>
          <w:rFonts w:ascii="Roboto" w:hAnsi="Roboto"/>
          <w:i w:val="0"/>
          <w:sz w:val="22"/>
          <w:szCs w:val="22"/>
        </w:rPr>
        <w:t xml:space="preserve"> chargée de superviser la mise en œuvre globale du programme et d’assurer le suivi administratif et financier. L’équipe a été renforcée en mars 2025 par l’arrivée d’une Consultante “</w:t>
      </w:r>
      <w:proofErr w:type="spellStart"/>
      <w:r w:rsidRPr="008C4668">
        <w:rPr>
          <w:rFonts w:ascii="Roboto" w:hAnsi="Roboto"/>
          <w:i w:val="0"/>
          <w:sz w:val="22"/>
          <w:szCs w:val="22"/>
        </w:rPr>
        <w:t>Knowledge</w:t>
      </w:r>
      <w:proofErr w:type="spellEnd"/>
      <w:r w:rsidRPr="008C4668">
        <w:rPr>
          <w:rFonts w:ascii="Roboto" w:hAnsi="Roboto"/>
          <w:i w:val="0"/>
          <w:sz w:val="22"/>
          <w:szCs w:val="22"/>
        </w:rPr>
        <w:t xml:space="preserve"> Manager”, dédiée à la gestion des savoirs et à la capitalisation.</w:t>
      </w:r>
    </w:p>
    <w:p w14:paraId="03313A80" w14:textId="77777777" w:rsidR="008C4668" w:rsidRDefault="008C4668" w:rsidP="00D136D0">
      <w:pPr>
        <w:pStyle w:val="Liste4"/>
        <w:ind w:left="0"/>
        <w:rPr>
          <w:rFonts w:ascii="Roboto" w:hAnsi="Roboto"/>
          <w:i w:val="0"/>
          <w:sz w:val="22"/>
          <w:szCs w:val="22"/>
        </w:rPr>
      </w:pPr>
    </w:p>
    <w:p w14:paraId="6C31984C" w14:textId="5535F583" w:rsidR="00A15E1A" w:rsidRPr="00FC17AB" w:rsidRDefault="00A15E1A" w:rsidP="00FC17AB">
      <w:pPr>
        <w:pStyle w:val="Liste4"/>
        <w:numPr>
          <w:ilvl w:val="0"/>
          <w:numId w:val="17"/>
        </w:numPr>
        <w:rPr>
          <w:rFonts w:ascii="Roboto" w:hAnsi="Roboto"/>
          <w:i w:val="0"/>
          <w:sz w:val="22"/>
          <w:szCs w:val="22"/>
          <w:u w:val="single"/>
        </w:rPr>
      </w:pPr>
      <w:r w:rsidRPr="00FC17AB">
        <w:rPr>
          <w:rFonts w:ascii="Roboto" w:hAnsi="Roboto"/>
          <w:i w:val="0"/>
          <w:sz w:val="22"/>
          <w:szCs w:val="22"/>
          <w:u w:val="single"/>
        </w:rPr>
        <w:t>Expertise France</w:t>
      </w:r>
    </w:p>
    <w:p w14:paraId="11537D9E" w14:textId="59E4A5D3" w:rsidR="00A15E1A" w:rsidRPr="00FC17AB" w:rsidRDefault="00A15E1A" w:rsidP="00FC17AB">
      <w:pPr>
        <w:spacing w:before="100" w:beforeAutospacing="1" w:after="100" w:afterAutospacing="1"/>
        <w:jc w:val="left"/>
        <w:rPr>
          <w:rFonts w:eastAsia="Times New Roman" w:cs="Times New Roman"/>
        </w:rPr>
      </w:pPr>
      <w:r w:rsidRPr="00FC17AB">
        <w:rPr>
          <w:rFonts w:eastAsia="Times New Roman" w:cs="Times New Roman"/>
        </w:rPr>
        <w:t xml:space="preserve">Au cours de la phase 1 (2017–2022), Expertise France assurait la maîtrise d’ouvrage déléguée pour l’un des trois axes du programme, l’appui à la gouvernance climat et au renforcement institutionnel, en coordination étroite avec l’AFD. </w:t>
      </w:r>
      <w:r>
        <w:rPr>
          <w:rFonts w:eastAsia="Times New Roman" w:cs="Times New Roman"/>
        </w:rPr>
        <w:t>EF</w:t>
      </w:r>
      <w:r w:rsidRPr="00FC17AB">
        <w:rPr>
          <w:rFonts w:eastAsia="Times New Roman" w:cs="Times New Roman"/>
        </w:rPr>
        <w:t xml:space="preserve"> gérait alors l’ensemble des aspects techniques, administratifs et financiers relatifs à cet axe, incluant la mobilisation des experts, la passation des contrats et le suivi opérationnel des activités.</w:t>
      </w:r>
    </w:p>
    <w:p w14:paraId="10632125" w14:textId="7BB446BC" w:rsidR="00A15E1A" w:rsidRPr="00A15E1A" w:rsidRDefault="00A15E1A" w:rsidP="00FC17AB">
      <w:pPr>
        <w:spacing w:before="100" w:beforeAutospacing="1" w:after="100" w:afterAutospacing="1"/>
        <w:jc w:val="left"/>
      </w:pPr>
      <w:r w:rsidRPr="00FC17AB">
        <w:rPr>
          <w:rFonts w:eastAsia="Times New Roman" w:cs="Times New Roman"/>
        </w:rPr>
        <w:t>Dans la phase 2 (2022–2026), la gouvernance du programme a été recentrée au sein de l’AFD, qui en assure désormais la maîtrise d’ouvrage intégrale.</w:t>
      </w:r>
      <w:r w:rsidRPr="00FC17AB">
        <w:rPr>
          <w:rFonts w:eastAsia="Times New Roman" w:cs="Times New Roman"/>
        </w:rPr>
        <w:br/>
        <w:t xml:space="preserve">Le rôle d’Expertise France a évolué vers un appui logistique et de gestion des ressources humaines, principalement pour la contractualisation des coordinateurs régionaux et l’appui administratif du siège (Adjointes, RAF, </w:t>
      </w:r>
      <w:proofErr w:type="spellStart"/>
      <w:r w:rsidRPr="00FC17AB">
        <w:rPr>
          <w:rFonts w:eastAsia="Times New Roman" w:cs="Times New Roman"/>
        </w:rPr>
        <w:t>Knowledge</w:t>
      </w:r>
      <w:proofErr w:type="spellEnd"/>
      <w:r w:rsidRPr="00FC17AB">
        <w:rPr>
          <w:rFonts w:eastAsia="Times New Roman" w:cs="Times New Roman"/>
        </w:rPr>
        <w:t xml:space="preserve"> Manager). </w:t>
      </w:r>
    </w:p>
    <w:p w14:paraId="6585691C" w14:textId="12DBBEA1" w:rsidR="008C4668" w:rsidRPr="008C4668" w:rsidRDefault="008C4668" w:rsidP="00FC17AB">
      <w:pPr>
        <w:pStyle w:val="Liste4"/>
        <w:numPr>
          <w:ilvl w:val="0"/>
          <w:numId w:val="17"/>
        </w:numPr>
        <w:rPr>
          <w:rFonts w:ascii="Roboto" w:hAnsi="Roboto"/>
          <w:i w:val="0"/>
          <w:sz w:val="22"/>
          <w:szCs w:val="22"/>
          <w:u w:val="single"/>
        </w:rPr>
      </w:pPr>
      <w:r w:rsidRPr="008C4668">
        <w:rPr>
          <w:rFonts w:ascii="Roboto" w:hAnsi="Roboto"/>
          <w:i w:val="0"/>
          <w:sz w:val="22"/>
          <w:szCs w:val="22"/>
          <w:u w:val="single"/>
        </w:rPr>
        <w:t>Agences et Directions Régionales de l’AFD</w:t>
      </w:r>
    </w:p>
    <w:p w14:paraId="03B510F8" w14:textId="47C8129B" w:rsidR="008C4668" w:rsidRPr="008C4668" w:rsidRDefault="008C4668" w:rsidP="008C4668">
      <w:pPr>
        <w:pStyle w:val="Liste4"/>
        <w:ind w:left="0"/>
        <w:rPr>
          <w:rFonts w:ascii="Roboto" w:hAnsi="Roboto"/>
          <w:i w:val="0"/>
          <w:sz w:val="22"/>
          <w:szCs w:val="22"/>
        </w:rPr>
      </w:pPr>
      <w:r w:rsidRPr="008C4668">
        <w:rPr>
          <w:rFonts w:ascii="Roboto" w:hAnsi="Roboto"/>
          <w:i w:val="0"/>
          <w:sz w:val="22"/>
          <w:szCs w:val="22"/>
        </w:rPr>
        <w:t xml:space="preserve">Les agences locales et les Directions Régionales de l’AFD </w:t>
      </w:r>
      <w:r w:rsidR="00097CAA">
        <w:rPr>
          <w:rFonts w:ascii="Roboto" w:hAnsi="Roboto"/>
          <w:i w:val="0"/>
          <w:sz w:val="22"/>
          <w:szCs w:val="22"/>
        </w:rPr>
        <w:t xml:space="preserve">contribuent au </w:t>
      </w:r>
      <w:r w:rsidRPr="008C4668">
        <w:rPr>
          <w:rFonts w:ascii="Roboto" w:hAnsi="Roboto"/>
          <w:i w:val="0"/>
          <w:sz w:val="22"/>
          <w:szCs w:val="22"/>
        </w:rPr>
        <w:t>suivi, de coordination et d’interface avec les partenaires nationaux. Elles facilitent l’ancrage territorial du programme</w:t>
      </w:r>
      <w:r w:rsidR="00097CAA">
        <w:rPr>
          <w:rFonts w:ascii="Roboto" w:hAnsi="Roboto"/>
          <w:i w:val="0"/>
          <w:sz w:val="22"/>
          <w:szCs w:val="22"/>
        </w:rPr>
        <w:t xml:space="preserve">, le financement des projets instruits par le </w:t>
      </w:r>
      <w:r w:rsidR="00044EE5">
        <w:rPr>
          <w:rFonts w:ascii="Roboto" w:hAnsi="Roboto"/>
          <w:i w:val="0"/>
          <w:sz w:val="22"/>
          <w:szCs w:val="22"/>
        </w:rPr>
        <w:t xml:space="preserve">programme </w:t>
      </w:r>
      <w:r w:rsidR="00044EE5" w:rsidRPr="008C4668">
        <w:rPr>
          <w:rFonts w:ascii="Roboto" w:hAnsi="Roboto"/>
          <w:i w:val="0"/>
          <w:sz w:val="22"/>
          <w:szCs w:val="22"/>
        </w:rPr>
        <w:t>et</w:t>
      </w:r>
      <w:r w:rsidRPr="008C4668">
        <w:rPr>
          <w:rFonts w:ascii="Roboto" w:hAnsi="Roboto"/>
          <w:i w:val="0"/>
          <w:sz w:val="22"/>
          <w:szCs w:val="22"/>
        </w:rPr>
        <w:t xml:space="preserve"> la cohérence avec les dynamiques régionales de développement.</w:t>
      </w:r>
    </w:p>
    <w:p w14:paraId="5458ABFF" w14:textId="77777777" w:rsidR="008C4668" w:rsidRPr="008C4668" w:rsidRDefault="008C4668" w:rsidP="008C4668">
      <w:pPr>
        <w:pStyle w:val="Liste4"/>
        <w:rPr>
          <w:rFonts w:ascii="Roboto" w:hAnsi="Roboto"/>
          <w:i w:val="0"/>
          <w:sz w:val="22"/>
          <w:szCs w:val="22"/>
          <w:u w:val="single"/>
        </w:rPr>
      </w:pPr>
    </w:p>
    <w:p w14:paraId="68CB2E6D" w14:textId="181F246F" w:rsidR="008C4668" w:rsidRPr="008C4668" w:rsidRDefault="008C4668" w:rsidP="00FC17AB">
      <w:pPr>
        <w:pStyle w:val="Liste4"/>
        <w:numPr>
          <w:ilvl w:val="0"/>
          <w:numId w:val="17"/>
        </w:numPr>
        <w:rPr>
          <w:rFonts w:ascii="Roboto" w:hAnsi="Roboto"/>
          <w:i w:val="0"/>
          <w:sz w:val="22"/>
          <w:szCs w:val="22"/>
          <w:u w:val="single"/>
        </w:rPr>
      </w:pPr>
      <w:r w:rsidRPr="008C4668">
        <w:rPr>
          <w:rFonts w:ascii="Roboto" w:hAnsi="Roboto"/>
          <w:i w:val="0"/>
          <w:sz w:val="22"/>
          <w:szCs w:val="22"/>
          <w:u w:val="single"/>
        </w:rPr>
        <w:t>Divisions techniques de l’AFD</w:t>
      </w:r>
    </w:p>
    <w:p w14:paraId="4E414B0A" w14:textId="1DEACEF8" w:rsidR="008C4668" w:rsidRPr="008C4668" w:rsidRDefault="008C4668" w:rsidP="008C4668">
      <w:pPr>
        <w:pStyle w:val="Liste4"/>
        <w:ind w:left="0"/>
        <w:rPr>
          <w:rFonts w:ascii="Roboto" w:hAnsi="Roboto"/>
          <w:i w:val="0"/>
          <w:sz w:val="22"/>
          <w:szCs w:val="22"/>
        </w:rPr>
      </w:pPr>
      <w:r w:rsidRPr="008C4668">
        <w:rPr>
          <w:rFonts w:ascii="Roboto" w:hAnsi="Roboto"/>
          <w:i w:val="0"/>
          <w:sz w:val="22"/>
          <w:szCs w:val="22"/>
        </w:rPr>
        <w:t>Les divisions techniques de l’AFD</w:t>
      </w:r>
      <w:r>
        <w:rPr>
          <w:rFonts w:ascii="Roboto" w:hAnsi="Roboto"/>
          <w:i w:val="0"/>
          <w:sz w:val="22"/>
          <w:szCs w:val="22"/>
        </w:rPr>
        <w:t xml:space="preserve"> (EEA, ARB, VIL, EDU, </w:t>
      </w:r>
      <w:r w:rsidRPr="008C4668">
        <w:rPr>
          <w:rFonts w:ascii="Roboto" w:hAnsi="Roboto"/>
          <w:iCs/>
          <w:sz w:val="22"/>
          <w:szCs w:val="22"/>
        </w:rPr>
        <w:t>etc</w:t>
      </w:r>
      <w:r>
        <w:rPr>
          <w:rFonts w:ascii="Roboto" w:hAnsi="Roboto"/>
          <w:i w:val="0"/>
          <w:sz w:val="22"/>
          <w:szCs w:val="22"/>
        </w:rPr>
        <w:t>.)</w:t>
      </w:r>
      <w:r w:rsidRPr="008C4668">
        <w:rPr>
          <w:rFonts w:ascii="Roboto" w:hAnsi="Roboto"/>
          <w:i w:val="0"/>
          <w:sz w:val="22"/>
          <w:szCs w:val="22"/>
        </w:rPr>
        <w:t xml:space="preserve"> contribuent à la qualité et à la pertinence des appuis, en mobilisant leur expertise thématique (agriculture, eau, biodiversité, climat, villes résilientes, santé, etc.)</w:t>
      </w:r>
      <w:r w:rsidR="00097CAA">
        <w:rPr>
          <w:rFonts w:ascii="Roboto" w:hAnsi="Roboto"/>
          <w:i w:val="0"/>
          <w:sz w:val="22"/>
          <w:szCs w:val="22"/>
        </w:rPr>
        <w:t xml:space="preserve"> notamment dans l’axe 3 dédié à la préparation de projets d’investissements</w:t>
      </w:r>
      <w:r w:rsidRPr="008C4668">
        <w:rPr>
          <w:rFonts w:ascii="Roboto" w:hAnsi="Roboto"/>
          <w:i w:val="0"/>
          <w:sz w:val="22"/>
          <w:szCs w:val="22"/>
        </w:rPr>
        <w:t xml:space="preserve">. </w:t>
      </w:r>
    </w:p>
    <w:p w14:paraId="64A41FE2" w14:textId="77777777" w:rsidR="00461E6A" w:rsidRPr="002C50D8" w:rsidRDefault="00461E6A">
      <w:pPr>
        <w:spacing w:before="120" w:after="120"/>
      </w:pPr>
    </w:p>
    <w:p w14:paraId="7B2F907E" w14:textId="77777777" w:rsidR="00A61543" w:rsidRPr="002C50D8" w:rsidRDefault="007F1F62">
      <w:pPr>
        <w:tabs>
          <w:tab w:val="left" w:pos="2760"/>
        </w:tabs>
        <w:rPr>
          <w:rFonts w:eastAsia="Calibri" w:cs="Calibri"/>
        </w:rPr>
      </w:pPr>
      <w:r w:rsidRPr="002C50D8">
        <w:rPr>
          <w:rFonts w:eastAsia="Calibri" w:cs="Calibri"/>
        </w:rPr>
        <w:tab/>
      </w:r>
    </w:p>
    <w:p w14:paraId="6AC71C8B" w14:textId="77777777" w:rsidR="00A61543" w:rsidRPr="002C50D8" w:rsidRDefault="007F1F62" w:rsidP="00BA25AF">
      <w:pPr>
        <w:pStyle w:val="Titre1"/>
        <w:numPr>
          <w:ilvl w:val="0"/>
          <w:numId w:val="1"/>
        </w:numPr>
        <w:rPr>
          <w:rFonts w:ascii="Roboto" w:hAnsi="Roboto"/>
        </w:rPr>
      </w:pPr>
      <w:bookmarkStart w:id="5" w:name="_kchxqk37vlut" w:colFirst="0" w:colLast="0"/>
      <w:bookmarkStart w:id="6" w:name="_Toc211411308"/>
      <w:bookmarkEnd w:id="5"/>
      <w:r w:rsidRPr="002C50D8">
        <w:rPr>
          <w:rFonts w:ascii="Roboto" w:hAnsi="Roboto"/>
          <w:b/>
        </w:rPr>
        <w:t>OBJET DU MARCHE</w:t>
      </w:r>
      <w:bookmarkEnd w:id="6"/>
    </w:p>
    <w:p w14:paraId="739EFA8D" w14:textId="77777777" w:rsidR="00A61543" w:rsidRPr="002C50D8" w:rsidRDefault="00A61543">
      <w:pPr>
        <w:pBdr>
          <w:top w:val="nil"/>
          <w:left w:val="nil"/>
          <w:bottom w:val="nil"/>
          <w:right w:val="nil"/>
          <w:between w:val="nil"/>
        </w:pBdr>
        <w:ind w:left="708"/>
        <w:rPr>
          <w:rFonts w:eastAsia="Calibri" w:cs="Calibri"/>
          <w:b/>
          <w:color w:val="000000"/>
          <w:sz w:val="24"/>
          <w:szCs w:val="24"/>
        </w:rPr>
      </w:pPr>
      <w:bookmarkStart w:id="7" w:name="_qoallfkugri1" w:colFirst="0" w:colLast="0"/>
      <w:bookmarkEnd w:id="7"/>
    </w:p>
    <w:p w14:paraId="1F3D1358" w14:textId="77777777" w:rsidR="00464889" w:rsidRPr="00464889" w:rsidRDefault="00464889" w:rsidP="00BA25AF">
      <w:pPr>
        <w:pStyle w:val="Paragraphedeliste"/>
        <w:numPr>
          <w:ilvl w:val="0"/>
          <w:numId w:val="3"/>
        </w:numPr>
        <w:pBdr>
          <w:bottom w:val="single" w:sz="4" w:space="0" w:color="000000"/>
        </w:pBdr>
        <w:contextualSpacing w:val="0"/>
        <w:outlineLvl w:val="1"/>
        <w:rPr>
          <w:b/>
          <w:vanish/>
          <w:color w:val="000000"/>
          <w:sz w:val="24"/>
          <w:szCs w:val="24"/>
        </w:rPr>
      </w:pPr>
      <w:bookmarkStart w:id="8" w:name="_4e2cdsmthqtw" w:colFirst="0" w:colLast="0"/>
      <w:bookmarkStart w:id="9" w:name="_Toc207360337"/>
      <w:bookmarkStart w:id="10" w:name="_Toc210147563"/>
      <w:bookmarkStart w:id="11" w:name="_Toc211352551"/>
      <w:bookmarkStart w:id="12" w:name="_Toc211352603"/>
      <w:bookmarkStart w:id="13" w:name="_Toc211411309"/>
      <w:bookmarkEnd w:id="8"/>
      <w:bookmarkEnd w:id="9"/>
      <w:bookmarkEnd w:id="10"/>
      <w:bookmarkEnd w:id="11"/>
      <w:bookmarkEnd w:id="12"/>
      <w:bookmarkEnd w:id="13"/>
    </w:p>
    <w:p w14:paraId="18E42A0D" w14:textId="77777777" w:rsidR="00464889" w:rsidRPr="00464889" w:rsidRDefault="00464889" w:rsidP="00BA25AF">
      <w:pPr>
        <w:pStyle w:val="Paragraphedeliste"/>
        <w:numPr>
          <w:ilvl w:val="0"/>
          <w:numId w:val="3"/>
        </w:numPr>
        <w:pBdr>
          <w:bottom w:val="single" w:sz="4" w:space="0" w:color="000000"/>
        </w:pBdr>
        <w:contextualSpacing w:val="0"/>
        <w:outlineLvl w:val="1"/>
        <w:rPr>
          <w:b/>
          <w:vanish/>
          <w:color w:val="000000"/>
          <w:sz w:val="24"/>
          <w:szCs w:val="24"/>
        </w:rPr>
      </w:pPr>
      <w:bookmarkStart w:id="14" w:name="_Toc207360338"/>
      <w:bookmarkStart w:id="15" w:name="_Toc210147564"/>
      <w:bookmarkStart w:id="16" w:name="_Toc211352552"/>
      <w:bookmarkStart w:id="17" w:name="_Toc211352604"/>
      <w:bookmarkStart w:id="18" w:name="_Toc211411310"/>
      <w:bookmarkEnd w:id="14"/>
      <w:bookmarkEnd w:id="15"/>
      <w:bookmarkEnd w:id="16"/>
      <w:bookmarkEnd w:id="17"/>
      <w:bookmarkEnd w:id="18"/>
    </w:p>
    <w:p w14:paraId="34FEEF61" w14:textId="051BDC6E" w:rsidR="00A61543" w:rsidRPr="002C50D8" w:rsidRDefault="00EE44F4" w:rsidP="00BA25AF">
      <w:pPr>
        <w:pStyle w:val="Titre2"/>
        <w:numPr>
          <w:ilvl w:val="1"/>
          <w:numId w:val="3"/>
        </w:numPr>
      </w:pPr>
      <w:bookmarkStart w:id="19" w:name="_Toc211411311"/>
      <w:r w:rsidRPr="002C50D8">
        <w:t>OBJECTIFS DE L’EVALUATION</w:t>
      </w:r>
      <w:bookmarkEnd w:id="19"/>
    </w:p>
    <w:p w14:paraId="77E31F8A" w14:textId="77777777" w:rsidR="00AD2AB4" w:rsidRPr="002C50D8" w:rsidRDefault="00AD2AB4" w:rsidP="00AD2AB4"/>
    <w:p w14:paraId="4143998B" w14:textId="4F7936DB" w:rsidR="00306B24" w:rsidRDefault="00306B24" w:rsidP="00AD2AB4">
      <w:r w:rsidRPr="00306B24">
        <w:t xml:space="preserve">L’évaluation du programme AdaptAction poursuit une double finalité : </w:t>
      </w:r>
      <w:r w:rsidRPr="00306B24">
        <w:rPr>
          <w:b/>
          <w:bCs/>
        </w:rPr>
        <w:t>rendre compte</w:t>
      </w:r>
      <w:r w:rsidRPr="00306B24">
        <w:t xml:space="preserve"> et </w:t>
      </w:r>
      <w:r w:rsidRPr="00306B24">
        <w:rPr>
          <w:b/>
          <w:bCs/>
        </w:rPr>
        <w:t>apprendre</w:t>
      </w:r>
      <w:r w:rsidRPr="00306B24">
        <w:t xml:space="preserve">. Elle vise d’une part à apprécier la valeur ajoutée du dispositif au regard de ses </w:t>
      </w:r>
      <w:r w:rsidRPr="00306B24">
        <w:lastRenderedPageBreak/>
        <w:t>objectifs initiaux et de son positionnement dans l’écosystème de la finance climat (fonction de redevabilité), et d’autre part à en tirer des enseignements utiles pour l’avenir (fonction d’apprentissage). À ce titre, elle répond à un besoin stratégique pour l’AFD de consolider ses orientations en matière d’adaptation et de calibrer ses futurs instruments d’appui.</w:t>
      </w:r>
    </w:p>
    <w:p w14:paraId="39DED64A" w14:textId="77777777" w:rsidR="00306B24" w:rsidRDefault="00306B24" w:rsidP="00AD2AB4"/>
    <w:p w14:paraId="2C99A3AD" w14:textId="23E27231" w:rsidR="00AD2AB4" w:rsidRPr="00AD2AB4" w:rsidRDefault="00AD2AB4" w:rsidP="00AD2AB4">
      <w:r w:rsidRPr="00AD2AB4">
        <w:t xml:space="preserve">En 2026, le programme </w:t>
      </w:r>
      <w:r w:rsidRPr="00AD2AB4">
        <w:rPr>
          <w:b/>
          <w:bCs/>
        </w:rPr>
        <w:t>AdaptAction</w:t>
      </w:r>
      <w:r w:rsidRPr="00AD2AB4">
        <w:t xml:space="preserve"> arrivera à</w:t>
      </w:r>
      <w:r w:rsidR="001A47C4">
        <w:t xml:space="preserve"> </w:t>
      </w:r>
      <w:r w:rsidRPr="00AD2AB4">
        <w:t xml:space="preserve">la fin de </w:t>
      </w:r>
      <w:r w:rsidR="00097CAA">
        <w:t>l’</w:t>
      </w:r>
      <w:r w:rsidRPr="00AD2AB4">
        <w:t xml:space="preserve">exécution </w:t>
      </w:r>
      <w:r w:rsidR="00097CAA">
        <w:t>de sa deuxième phase</w:t>
      </w:r>
      <w:r w:rsidR="00097CAA">
        <w:rPr>
          <w:rStyle w:val="Appelnotedebasdep"/>
        </w:rPr>
        <w:footnoteReference w:id="4"/>
      </w:r>
      <w:r w:rsidR="00097CAA">
        <w:t xml:space="preserve"> </w:t>
      </w:r>
      <w:r w:rsidRPr="00AD2AB4">
        <w:t xml:space="preserve">après près de dix années de mise en œuvre. </w:t>
      </w:r>
      <w:r w:rsidR="00097CAA">
        <w:t>I</w:t>
      </w:r>
      <w:r w:rsidRPr="00AD2AB4">
        <w:t>l apparaît opportun de dresser un bilan global de ses résultats, de son fonctionnement et de ses modalités d’intervention. Cette évaluation intervient à un moment charnière : d’une part, elle doit mesurer les efforts réalisés et les acquis obtenus grâce au financement mobilisé depuis 2017 ; d’autre part, elle doit contribuer à éclairer les réflexions stratégiques de l’AFD sur l’avenir de ses appuis à l’adaptation au changement climatique.</w:t>
      </w:r>
    </w:p>
    <w:p w14:paraId="04959046" w14:textId="77777777" w:rsidR="00097CAA" w:rsidRDefault="00097CAA" w:rsidP="004150F0"/>
    <w:p w14:paraId="50C1416F" w14:textId="4B0F08FE" w:rsidR="004150F0" w:rsidRPr="00AD2AB4" w:rsidRDefault="00AD2AB4" w:rsidP="004150F0">
      <w:r w:rsidRPr="00AD2AB4">
        <w:t xml:space="preserve">Elle s’inscrit également dans le contexte de la </w:t>
      </w:r>
      <w:r w:rsidRPr="00AD2AB4">
        <w:rPr>
          <w:b/>
          <w:bCs/>
        </w:rPr>
        <w:t>feuille de route Planète</w:t>
      </w:r>
      <w:r w:rsidRPr="00AD2AB4">
        <w:t>, adoptée en 2025, dont l’un des axes majeurs est de renforcer l’intégration de l’adaptation dans les trajectoires de développement des pays partenaires</w:t>
      </w:r>
      <w:r w:rsidR="001A47C4">
        <w:t>, mais également les synergies et complémentarités entre adaptation, atténuation et biodiversité</w:t>
      </w:r>
      <w:r w:rsidRPr="00AD2AB4">
        <w:t xml:space="preserve">. L’évaluation du programme AdaptAction doit ainsi permettre de capitaliser sur l’expérience accumulée et de dégager des enseignements utiles pour </w:t>
      </w:r>
      <w:r w:rsidR="002302B6">
        <w:t>éclairer</w:t>
      </w:r>
      <w:r w:rsidR="002302B6" w:rsidRPr="00AD2AB4">
        <w:t xml:space="preserve"> </w:t>
      </w:r>
      <w:r w:rsidRPr="00AD2AB4">
        <w:t xml:space="preserve">la mise en œuvre de cette feuille de route et </w:t>
      </w:r>
      <w:r w:rsidR="002302B6">
        <w:t>nourrir la réflexion sur</w:t>
      </w:r>
      <w:r w:rsidR="002302B6" w:rsidRPr="00AD2AB4">
        <w:t xml:space="preserve"> </w:t>
      </w:r>
      <w:r w:rsidRPr="00AD2AB4">
        <w:t>les futures modalités d’intervention de l’AFD en matière d’adaptation.</w:t>
      </w:r>
      <w:r w:rsidR="004150F0" w:rsidRPr="002C50D8">
        <w:t xml:space="preserve"> </w:t>
      </w:r>
      <w:r w:rsidR="004150F0" w:rsidRPr="00AD2AB4">
        <w:t xml:space="preserve">Elle </w:t>
      </w:r>
      <w:r w:rsidR="004150F0" w:rsidRPr="002C50D8">
        <w:t>devra</w:t>
      </w:r>
      <w:r w:rsidR="004150F0" w:rsidRPr="00AD2AB4">
        <w:t xml:space="preserve"> porter un regard critique et indépendant sur les résultats atteints et l’</w:t>
      </w:r>
      <w:r w:rsidR="00E25C5E">
        <w:t xml:space="preserve">impact </w:t>
      </w:r>
      <w:r w:rsidR="004150F0" w:rsidRPr="00AD2AB4">
        <w:t>des activités mises en œuvre</w:t>
      </w:r>
      <w:r w:rsidR="00E25C5E">
        <w:t>, à la fois du point de vue des bénéficiaires (administrations et populations) et du financeur (AFD et Etat) ainsi que sur l’efficacité de la mise en œuvre des importants moyens mobilisés</w:t>
      </w:r>
      <w:r w:rsidR="004150F0" w:rsidRPr="00AD2AB4">
        <w:t xml:space="preserve">. Elle doit offrir un retour d’expérience sur les facteurs de succès et/ou d’échecs en matière d’appui aux politiques </w:t>
      </w:r>
      <w:r w:rsidR="00E25C5E">
        <w:t>d’adaptation</w:t>
      </w:r>
      <w:r w:rsidR="004150F0" w:rsidRPr="00AD2AB4">
        <w:t>, afin d’améliorer la pertinence</w:t>
      </w:r>
      <w:r w:rsidR="00E25C5E">
        <w:t>,</w:t>
      </w:r>
      <w:r w:rsidR="004150F0" w:rsidRPr="00AD2AB4">
        <w:t xml:space="preserve"> la qualité </w:t>
      </w:r>
      <w:r w:rsidR="00E25C5E">
        <w:t xml:space="preserve">et le rapport coût/impact </w:t>
      </w:r>
      <w:r w:rsidR="004150F0" w:rsidRPr="00AD2AB4">
        <w:t>des futurs projets, du fonctionnement du programme et de sa logique d’intervention.</w:t>
      </w:r>
    </w:p>
    <w:p w14:paraId="76D22827" w14:textId="77777777" w:rsidR="004150F0" w:rsidRPr="00AD2AB4" w:rsidRDefault="004150F0" w:rsidP="00AD2AB4"/>
    <w:p w14:paraId="441E2E36" w14:textId="77777777" w:rsidR="00AD2AB4" w:rsidRPr="00AD2AB4" w:rsidRDefault="00AD2AB4" w:rsidP="00AD2AB4">
      <w:r w:rsidRPr="00AD2AB4">
        <w:t>Conformément à la politique d’évaluation de l’AFD, le rapport final ou une synthèse sera publié et mis en ligne sur le site internet de l’AFD.</w:t>
      </w:r>
    </w:p>
    <w:p w14:paraId="027D7CD3" w14:textId="77777777" w:rsidR="00AD2AB4" w:rsidRPr="002C50D8" w:rsidRDefault="00AD2AB4" w:rsidP="00AD2AB4"/>
    <w:p w14:paraId="0A947AB9" w14:textId="7D34B1B7" w:rsidR="004150F0" w:rsidRPr="002C50D8" w:rsidRDefault="004150F0" w:rsidP="004150F0">
      <w:pPr>
        <w:pStyle w:val="Titre3"/>
        <w:rPr>
          <w:rFonts w:ascii="Roboto" w:hAnsi="Roboto"/>
        </w:rPr>
      </w:pPr>
      <w:bookmarkStart w:id="20" w:name="_Toc211411312"/>
      <w:r w:rsidRPr="002C50D8">
        <w:rPr>
          <w:rFonts w:ascii="Roboto" w:hAnsi="Roboto"/>
        </w:rPr>
        <w:t>Objectif général</w:t>
      </w:r>
      <w:bookmarkEnd w:id="20"/>
    </w:p>
    <w:p w14:paraId="36FF11BB" w14:textId="77777777" w:rsidR="00AD2AB4" w:rsidRPr="002C50D8" w:rsidRDefault="00AD2AB4" w:rsidP="00AD2AB4"/>
    <w:p w14:paraId="2D40BF3B" w14:textId="61C45EEF" w:rsidR="00AD2AB4" w:rsidRPr="00AD2AB4" w:rsidRDefault="00AD2AB4" w:rsidP="00AD2AB4">
      <w:r w:rsidRPr="00AD2AB4">
        <w:t>L’objectif général de la consultance est de produire un jugement évaluatif sur l’utilité, la pertinence, la cohérence, l’efficacité et l’efficience du programme AdaptAction afin d’alimenter la réflexion stratégique de l’AFD</w:t>
      </w:r>
      <w:r w:rsidR="002302B6">
        <w:t xml:space="preserve"> sur sa stratégie d’adaptation</w:t>
      </w:r>
      <w:r w:rsidRPr="00AD2AB4">
        <w:t xml:space="preserve"> sur la reconduction et l’évolution de ce type de dispositif.</w:t>
      </w:r>
    </w:p>
    <w:p w14:paraId="27F50690" w14:textId="77777777" w:rsidR="00AD2AB4" w:rsidRPr="00AD2AB4" w:rsidRDefault="00AD2AB4" w:rsidP="00AD2AB4">
      <w:r w:rsidRPr="00AD2AB4">
        <w:t>Ainsi l’évaluation doit permettre de :</w:t>
      </w:r>
    </w:p>
    <w:p w14:paraId="66CE269C" w14:textId="44A6E174" w:rsidR="006E7871" w:rsidRPr="00AD2AB4" w:rsidRDefault="00AD2AB4" w:rsidP="006E7871">
      <w:pPr>
        <w:numPr>
          <w:ilvl w:val="0"/>
          <w:numId w:val="21"/>
        </w:numPr>
      </w:pPr>
      <w:r w:rsidRPr="00AD2AB4">
        <w:t xml:space="preserve">Rendre compte des activités menées grâce au programme depuis son lancement en 2017 </w:t>
      </w:r>
      <w:r w:rsidR="006E7871">
        <w:t>en évaluant</w:t>
      </w:r>
      <w:r w:rsidR="006E7871" w:rsidRPr="00AD2AB4">
        <w:t xml:space="preserve"> l’efficacité des modalités spécifiques mises en œuvre dans AdaptAction (appuis institutionnels, renforcement des capacités, intégration de l’adaptation dans les politiques publiques</w:t>
      </w:r>
      <w:r w:rsidR="006E7871">
        <w:t>, synergies entre les 3 axes</w:t>
      </w:r>
      <w:r w:rsidR="006E7871" w:rsidRPr="00AD2AB4">
        <w:t>) ;</w:t>
      </w:r>
    </w:p>
    <w:p w14:paraId="4F1D73D8" w14:textId="2F584AA4" w:rsidR="00AD2AB4" w:rsidRPr="00AD2AB4" w:rsidRDefault="00AD2AB4" w:rsidP="00BA25AF">
      <w:pPr>
        <w:numPr>
          <w:ilvl w:val="0"/>
          <w:numId w:val="19"/>
        </w:numPr>
      </w:pPr>
      <w:r w:rsidRPr="00AD2AB4">
        <w:t xml:space="preserve">Alimenter le processus de prolongement </w:t>
      </w:r>
      <w:r w:rsidR="004150F0" w:rsidRPr="002C50D8">
        <w:t xml:space="preserve">du programme </w:t>
      </w:r>
      <w:r w:rsidRPr="00AD2AB4">
        <w:t>d’AdaptAction au-delà de 202</w:t>
      </w:r>
      <w:r w:rsidR="004150F0" w:rsidRPr="002C50D8">
        <w:t>6</w:t>
      </w:r>
      <w:r w:rsidRPr="00AD2AB4">
        <w:t xml:space="preserve"> </w:t>
      </w:r>
      <w:r w:rsidR="00952F11">
        <w:t xml:space="preserve">à travers des recommandations </w:t>
      </w:r>
      <w:r w:rsidR="00F76BBB">
        <w:t>opérationnelles</w:t>
      </w:r>
      <w:r w:rsidR="00F76BBB" w:rsidRPr="00AD2AB4">
        <w:t xml:space="preserve"> ;</w:t>
      </w:r>
    </w:p>
    <w:p w14:paraId="37F1FC03" w14:textId="2832BE48" w:rsidR="00AD2AB4" w:rsidRPr="002C50D8" w:rsidRDefault="00AD2AB4" w:rsidP="00BA25AF">
      <w:pPr>
        <w:numPr>
          <w:ilvl w:val="0"/>
          <w:numId w:val="19"/>
        </w:numPr>
      </w:pPr>
      <w:r w:rsidRPr="00AD2AB4">
        <w:t xml:space="preserve">Orienter les prochaines stratégies adaptation </w:t>
      </w:r>
      <w:r w:rsidR="00CA1DE5">
        <w:t xml:space="preserve">(et plus largement « planète ») </w:t>
      </w:r>
      <w:r w:rsidRPr="00AD2AB4">
        <w:t>de l’AFD et du Groupe</w:t>
      </w:r>
      <w:r w:rsidR="004150F0" w:rsidRPr="002C50D8">
        <w:t> ;</w:t>
      </w:r>
    </w:p>
    <w:p w14:paraId="6CD3536F" w14:textId="41F86F82" w:rsidR="004150F0" w:rsidRPr="002C50D8" w:rsidRDefault="004150F0" w:rsidP="00BA25AF">
      <w:pPr>
        <w:numPr>
          <w:ilvl w:val="0"/>
          <w:numId w:val="19"/>
        </w:numPr>
      </w:pPr>
      <w:r w:rsidRPr="002C50D8">
        <w:t>Contribuer à la diplomatie climatique française, en apportant des éléments d’analyse utiles aux échanges avec les partenaires internationaux.</w:t>
      </w:r>
    </w:p>
    <w:p w14:paraId="4F968D91" w14:textId="77777777" w:rsidR="004150F0" w:rsidRPr="00AD2AB4" w:rsidRDefault="004150F0" w:rsidP="00013DF3">
      <w:pPr>
        <w:ind w:left="720"/>
      </w:pPr>
    </w:p>
    <w:p w14:paraId="344592D5" w14:textId="77777777" w:rsidR="00613760" w:rsidRDefault="00613760" w:rsidP="00613760">
      <w:pPr>
        <w:ind w:left="720"/>
      </w:pPr>
      <w:r>
        <w:lastRenderedPageBreak/>
        <w:t>Concrètement, cette évaluation doit aider l’AFD à préciser les perspectives d’évolution du dispositif AdaptAction au-delà de 2026, en identifiant les conditions de sa reconduction, d’éventuelles adaptations de sa gouvernance ou de son modèle d’intervention, ainsi que les leviers permettant d’en renforcer l’impact et la visibilité.</w:t>
      </w:r>
    </w:p>
    <w:p w14:paraId="6C1EC613" w14:textId="12F38312" w:rsidR="00613760" w:rsidRDefault="00613760" w:rsidP="00613760">
      <w:pPr>
        <w:ind w:left="720"/>
      </w:pPr>
      <w:r>
        <w:t>Elle vise également à nourrir les discussions internes et interinstitutionnelles (avec les tutelles, l’Union européenne et les partenaires du Sud) sur les modalités futures d’appui à l’adaptation.</w:t>
      </w:r>
    </w:p>
    <w:p w14:paraId="62EAE9D2" w14:textId="7047DE9D" w:rsidR="00AD2AB4" w:rsidRPr="002C50D8" w:rsidRDefault="00613760" w:rsidP="00AD2AB4">
      <w:r>
        <w:t>À ce titre, elle revêt un double enjeu : apprentissage interne pour améliorer la conception des futurs dispositifs, et positionnement externe pour contribuer au plaidoyer et à la diplomatie climatique française.</w:t>
      </w:r>
    </w:p>
    <w:p w14:paraId="41878EC2" w14:textId="00A47990" w:rsidR="004150F0" w:rsidRPr="002C50D8" w:rsidRDefault="004150F0" w:rsidP="004150F0">
      <w:pPr>
        <w:pStyle w:val="Titre3"/>
        <w:rPr>
          <w:rFonts w:ascii="Roboto" w:hAnsi="Roboto"/>
        </w:rPr>
      </w:pPr>
      <w:bookmarkStart w:id="21" w:name="_Toc211411313"/>
      <w:r w:rsidRPr="002C50D8">
        <w:rPr>
          <w:rFonts w:ascii="Roboto" w:hAnsi="Roboto"/>
        </w:rPr>
        <w:t>Objectifs spécifiques</w:t>
      </w:r>
      <w:bookmarkEnd w:id="21"/>
    </w:p>
    <w:p w14:paraId="3FFA8194" w14:textId="77777777" w:rsidR="004150F0" w:rsidRPr="002C50D8" w:rsidRDefault="004150F0" w:rsidP="00AD2AB4"/>
    <w:p w14:paraId="14D53540" w14:textId="0A51AE0A" w:rsidR="00AD2AB4" w:rsidRPr="002C50D8" w:rsidRDefault="00AD2AB4" w:rsidP="00AD2AB4">
      <w:r w:rsidRPr="00AD2AB4">
        <w:t xml:space="preserve">Les objectifs poursuivis </w:t>
      </w:r>
      <w:r w:rsidR="00B745D0">
        <w:t xml:space="preserve">par l’évaluation </w:t>
      </w:r>
      <w:r w:rsidRPr="00AD2AB4">
        <w:t xml:space="preserve">peuvent être organisés selon qu’ils répondent à des besoins </w:t>
      </w:r>
      <w:r w:rsidRPr="00AD2AB4">
        <w:rPr>
          <w:b/>
          <w:bCs/>
        </w:rPr>
        <w:t>externes</w:t>
      </w:r>
      <w:r w:rsidRPr="00AD2AB4">
        <w:t xml:space="preserve"> (partenaires bénéficiaires, ministères de tutelle, bailleurs</w:t>
      </w:r>
      <w:r w:rsidR="00523ACB">
        <w:t xml:space="preserve"> tiers (UE)</w:t>
      </w:r>
      <w:r w:rsidRPr="00AD2AB4">
        <w:t xml:space="preserve">, public des pays partenaires) ou </w:t>
      </w:r>
      <w:r w:rsidRPr="00AD2AB4">
        <w:rPr>
          <w:b/>
          <w:bCs/>
        </w:rPr>
        <w:t>internes</w:t>
      </w:r>
      <w:r w:rsidRPr="00AD2AB4">
        <w:t xml:space="preserve"> (Groupe AFD, équipe France).</w:t>
      </w:r>
    </w:p>
    <w:p w14:paraId="646F065C" w14:textId="77777777" w:rsidR="004150F0" w:rsidRPr="00AD2AB4" w:rsidRDefault="004150F0" w:rsidP="00AD2AB4"/>
    <w:p w14:paraId="526883A2" w14:textId="77777777" w:rsidR="00AD2AB4" w:rsidRPr="002C50D8" w:rsidRDefault="00AD2AB4" w:rsidP="00AD2AB4">
      <w:pPr>
        <w:rPr>
          <w:b/>
          <w:bCs/>
        </w:rPr>
      </w:pPr>
      <w:r w:rsidRPr="00AD2AB4">
        <w:rPr>
          <w:b/>
          <w:bCs/>
        </w:rPr>
        <w:t>En externe :</w:t>
      </w:r>
    </w:p>
    <w:p w14:paraId="37CE20EB" w14:textId="77777777" w:rsidR="004150F0" w:rsidRPr="00AD2AB4" w:rsidRDefault="004150F0" w:rsidP="00AD2AB4"/>
    <w:p w14:paraId="0E8EBE36" w14:textId="77777777" w:rsidR="00AD2AB4" w:rsidRPr="00AD2AB4" w:rsidRDefault="00AD2AB4" w:rsidP="00BA25AF">
      <w:pPr>
        <w:numPr>
          <w:ilvl w:val="0"/>
          <w:numId w:val="20"/>
        </w:numPr>
      </w:pPr>
      <w:r w:rsidRPr="00AD2AB4">
        <w:t>Transparence et redevabilité sur l’utilisation des financements du programme AdaptAction (ministères de tutelle, décideurs politiques français, partenaires des pays bénéficiaires, société civile) ;</w:t>
      </w:r>
    </w:p>
    <w:p w14:paraId="1523E7B9" w14:textId="77777777" w:rsidR="00AD2AB4" w:rsidRPr="00AD2AB4" w:rsidRDefault="00AD2AB4" w:rsidP="00BA25AF">
      <w:pPr>
        <w:numPr>
          <w:ilvl w:val="0"/>
          <w:numId w:val="20"/>
        </w:numPr>
      </w:pPr>
      <w:r w:rsidRPr="00AD2AB4">
        <w:t>Évaluation de l’intervention de l’AFD en matière d’appui à l’adaptation climatique, à travers :</w:t>
      </w:r>
    </w:p>
    <w:p w14:paraId="1D7D7056" w14:textId="77777777" w:rsidR="00AD2AB4" w:rsidRPr="00AD2AB4" w:rsidRDefault="00AD2AB4" w:rsidP="00BA25AF">
      <w:pPr>
        <w:numPr>
          <w:ilvl w:val="1"/>
          <w:numId w:val="20"/>
        </w:numPr>
      </w:pPr>
      <w:proofErr w:type="gramStart"/>
      <w:r w:rsidRPr="00AD2AB4">
        <w:t>l’utilité</w:t>
      </w:r>
      <w:proofErr w:type="gramEnd"/>
      <w:r w:rsidRPr="00AD2AB4">
        <w:t>, la pertinence, la cohérence, l’efficacité et l’efficience du programme ;</w:t>
      </w:r>
    </w:p>
    <w:p w14:paraId="704B5BB2" w14:textId="77777777" w:rsidR="00AD2AB4" w:rsidRDefault="00AD2AB4" w:rsidP="00BA25AF">
      <w:pPr>
        <w:numPr>
          <w:ilvl w:val="1"/>
          <w:numId w:val="20"/>
        </w:numPr>
      </w:pPr>
      <w:proofErr w:type="gramStart"/>
      <w:r w:rsidRPr="00AD2AB4">
        <w:t>la</w:t>
      </w:r>
      <w:proofErr w:type="gramEnd"/>
      <w:r w:rsidRPr="00AD2AB4">
        <w:t xml:space="preserve"> pertinence, la cohérence, l’efficacité et, lorsque possible, les impacts et la durabilité des appuis apportés aux pays partenaires ;</w:t>
      </w:r>
    </w:p>
    <w:p w14:paraId="32EFCF80" w14:textId="1A11326B" w:rsidR="00AE5142" w:rsidRPr="00AD2AB4" w:rsidRDefault="00AE5142" w:rsidP="00BA25AF">
      <w:pPr>
        <w:numPr>
          <w:ilvl w:val="1"/>
          <w:numId w:val="20"/>
        </w:numPr>
      </w:pPr>
      <w:proofErr w:type="gramStart"/>
      <w:r>
        <w:t>la</w:t>
      </w:r>
      <w:proofErr w:type="gramEnd"/>
      <w:r>
        <w:t xml:space="preserve"> satisfaction des partenaires dans les pays cibles</w:t>
      </w:r>
    </w:p>
    <w:p w14:paraId="1609AE4F" w14:textId="02D571CA" w:rsidR="00AD2AB4" w:rsidRPr="002C50D8" w:rsidRDefault="00AD2AB4" w:rsidP="00BA25AF">
      <w:pPr>
        <w:numPr>
          <w:ilvl w:val="0"/>
          <w:numId w:val="20"/>
        </w:numPr>
      </w:pPr>
      <w:r w:rsidRPr="00AD2AB4">
        <w:t xml:space="preserve">Recommandations stratégiques et opérationnelles sur la pertinence du dispositif </w:t>
      </w:r>
      <w:r w:rsidR="00143590" w:rsidRPr="00AD2AB4">
        <w:t xml:space="preserve">AdaptAction, </w:t>
      </w:r>
      <w:r w:rsidR="00143590">
        <w:t>l’amélioration</w:t>
      </w:r>
      <w:r w:rsidR="00281B48">
        <w:t xml:space="preserve"> de </w:t>
      </w:r>
      <w:r w:rsidRPr="00AD2AB4">
        <w:t>ses modalités actuelles, sa gouvernance et son articulation avec les autres instruments climat de l’AFD</w:t>
      </w:r>
      <w:r w:rsidR="004150F0" w:rsidRPr="002C50D8">
        <w:t xml:space="preserve"> et de renforcer la contribution de la France à la diplomatie climatique internationale.</w:t>
      </w:r>
    </w:p>
    <w:p w14:paraId="0755A193" w14:textId="77777777" w:rsidR="004150F0" w:rsidRPr="00AD2AB4" w:rsidRDefault="004150F0" w:rsidP="004150F0">
      <w:pPr>
        <w:ind w:left="720"/>
      </w:pPr>
    </w:p>
    <w:p w14:paraId="0C70BCE2" w14:textId="77777777" w:rsidR="00AD2AB4" w:rsidRPr="002C50D8" w:rsidRDefault="00AD2AB4" w:rsidP="00AD2AB4">
      <w:pPr>
        <w:rPr>
          <w:b/>
          <w:bCs/>
        </w:rPr>
      </w:pPr>
      <w:r w:rsidRPr="00AD2AB4">
        <w:rPr>
          <w:b/>
          <w:bCs/>
        </w:rPr>
        <w:t>En interne :</w:t>
      </w:r>
    </w:p>
    <w:p w14:paraId="26B57605" w14:textId="77777777" w:rsidR="00AD2AB4" w:rsidRPr="00AD2AB4" w:rsidRDefault="00AD2AB4" w:rsidP="00BA25AF">
      <w:pPr>
        <w:numPr>
          <w:ilvl w:val="0"/>
          <w:numId w:val="21"/>
        </w:numPr>
      </w:pPr>
      <w:r w:rsidRPr="00AD2AB4">
        <w:t>Examiner l’efficience du dispositif et son rôle dans la diffusion de l’agenda adaptation au sein de l’AFD ;</w:t>
      </w:r>
    </w:p>
    <w:p w14:paraId="1A7D5B8F" w14:textId="77777777" w:rsidR="00AD2AB4" w:rsidRPr="00AD2AB4" w:rsidRDefault="00AD2AB4" w:rsidP="00BA25AF">
      <w:pPr>
        <w:numPr>
          <w:ilvl w:val="0"/>
          <w:numId w:val="21"/>
        </w:numPr>
      </w:pPr>
      <w:r w:rsidRPr="00AD2AB4">
        <w:t>Capitaliser les leçons apprises et bonnes pratiques afin d’assurer une meilleure pertinence par rapport aux contextes des pays partenaires ;</w:t>
      </w:r>
    </w:p>
    <w:p w14:paraId="562E4A33" w14:textId="77777777" w:rsidR="00AD2AB4" w:rsidRPr="00AD2AB4" w:rsidRDefault="00AD2AB4" w:rsidP="00BA25AF">
      <w:pPr>
        <w:numPr>
          <w:ilvl w:val="0"/>
          <w:numId w:val="21"/>
        </w:numPr>
      </w:pPr>
      <w:r w:rsidRPr="00AD2AB4">
        <w:t>Formuler des recommandations opérationnelles pour améliorer la mise en œuvre des futures phases du programme et plus largement les interventions de l’AFD en matière d’adaptation ;</w:t>
      </w:r>
    </w:p>
    <w:p w14:paraId="48E16AC8" w14:textId="77777777" w:rsidR="00AD2AB4" w:rsidRPr="00AD2AB4" w:rsidRDefault="00AD2AB4" w:rsidP="00BA25AF">
      <w:pPr>
        <w:numPr>
          <w:ilvl w:val="0"/>
          <w:numId w:val="21"/>
        </w:numPr>
      </w:pPr>
      <w:r w:rsidRPr="00AD2AB4">
        <w:t>Évaluer l’appropriation par les équipes de l’AFD et les partenaires de l’agenda adaptation, et les éventuelles externalités positives sur d’autres opérations de l’AFD.</w:t>
      </w:r>
    </w:p>
    <w:p w14:paraId="38F04B0F" w14:textId="77777777" w:rsidR="004150F0" w:rsidRPr="002C50D8" w:rsidRDefault="004150F0" w:rsidP="00AD2AB4"/>
    <w:p w14:paraId="0ACA55D9" w14:textId="613E953E" w:rsidR="00AD2AB4" w:rsidRPr="00AD2AB4" w:rsidRDefault="00AD2AB4" w:rsidP="00AD2AB4">
      <w:r w:rsidRPr="00AD2AB4">
        <w:t>Ces objectifs internes et externes devront être croisés au cours de l’évaluation afin de fournir une analyse complète et stratégique du programme AdaptAction.</w:t>
      </w:r>
    </w:p>
    <w:p w14:paraId="66041B20" w14:textId="77777777" w:rsidR="00AD2AB4" w:rsidRPr="002C50D8" w:rsidRDefault="00AD2AB4" w:rsidP="00AD2AB4"/>
    <w:p w14:paraId="6A128CFA" w14:textId="77777777" w:rsidR="00AD2AB4" w:rsidRPr="002C50D8" w:rsidRDefault="00AD2AB4" w:rsidP="00AD2AB4"/>
    <w:p w14:paraId="7BAF3A37" w14:textId="77777777" w:rsidR="00AD2AB4" w:rsidRPr="002C50D8" w:rsidRDefault="00AD2AB4" w:rsidP="00AD2AB4"/>
    <w:p w14:paraId="61F84398" w14:textId="77777777" w:rsidR="00A61543" w:rsidRPr="002C50D8" w:rsidRDefault="007F1F62" w:rsidP="00BA25AF">
      <w:pPr>
        <w:pStyle w:val="Titre1"/>
        <w:numPr>
          <w:ilvl w:val="0"/>
          <w:numId w:val="1"/>
        </w:numPr>
        <w:rPr>
          <w:rFonts w:ascii="Roboto" w:hAnsi="Roboto"/>
        </w:rPr>
      </w:pPr>
      <w:bookmarkStart w:id="22" w:name="_dmt2358031x9" w:colFirst="0" w:colLast="0"/>
      <w:bookmarkStart w:id="23" w:name="_Toc211411314"/>
      <w:bookmarkEnd w:id="22"/>
      <w:r w:rsidRPr="002C50D8">
        <w:rPr>
          <w:rFonts w:ascii="Roboto" w:hAnsi="Roboto"/>
          <w:b/>
        </w:rPr>
        <w:t>DEFINITION ET NATURE DES PRESTATIONS</w:t>
      </w:r>
      <w:bookmarkEnd w:id="23"/>
    </w:p>
    <w:p w14:paraId="5BCB4B84" w14:textId="2D0CC679" w:rsidR="00A61543" w:rsidRPr="002C50D8" w:rsidRDefault="00A61543" w:rsidP="004150F0">
      <w:bookmarkStart w:id="24" w:name="_7s44mcivnqbz" w:colFirst="0" w:colLast="0"/>
      <w:bookmarkEnd w:id="24"/>
    </w:p>
    <w:p w14:paraId="211CF5A9" w14:textId="7678A2DE" w:rsidR="00A61543" w:rsidRPr="002C50D8" w:rsidRDefault="00501E9B" w:rsidP="00BA25AF">
      <w:pPr>
        <w:pStyle w:val="Titre2"/>
        <w:numPr>
          <w:ilvl w:val="1"/>
          <w:numId w:val="4"/>
        </w:numPr>
      </w:pPr>
      <w:bookmarkStart w:id="25" w:name="_2epgeibcwk9d" w:colFirst="0" w:colLast="0"/>
      <w:bookmarkStart w:id="26" w:name="_Toc211411315"/>
      <w:bookmarkEnd w:id="25"/>
      <w:r w:rsidRPr="002C50D8">
        <w:t>Cadrage de la mission :  Echelle et périmètre de l’analyse</w:t>
      </w:r>
      <w:bookmarkEnd w:id="26"/>
    </w:p>
    <w:p w14:paraId="48910388" w14:textId="77777777" w:rsidR="00501E9B" w:rsidRPr="002C50D8" w:rsidRDefault="00501E9B" w:rsidP="00501E9B">
      <w:pPr>
        <w:spacing w:after="120"/>
        <w:rPr>
          <w:color w:val="000000"/>
        </w:rPr>
      </w:pPr>
    </w:p>
    <w:p w14:paraId="1461B8D0" w14:textId="56C3E8F0" w:rsidR="00501E9B" w:rsidRPr="002C50D8" w:rsidRDefault="00501E9B" w:rsidP="00501E9B">
      <w:pPr>
        <w:spacing w:after="120"/>
        <w:rPr>
          <w:color w:val="000000"/>
        </w:rPr>
      </w:pPr>
      <w:r w:rsidRPr="002C50D8">
        <w:rPr>
          <w:color w:val="000000"/>
        </w:rPr>
        <w:t xml:space="preserve">L’évaluation sera organisée en deux </w:t>
      </w:r>
      <w:r w:rsidR="007065EF">
        <w:rPr>
          <w:color w:val="000000"/>
        </w:rPr>
        <w:t>phases</w:t>
      </w:r>
      <w:r w:rsidRPr="002C50D8">
        <w:rPr>
          <w:color w:val="000000"/>
        </w:rPr>
        <w:t>, chacune portant sur des échelles différentes :</w:t>
      </w:r>
    </w:p>
    <w:p w14:paraId="2A0428CD" w14:textId="671A40E1" w:rsidR="00501E9B" w:rsidRPr="00186759" w:rsidRDefault="00501E9B" w:rsidP="00186759">
      <w:pPr>
        <w:numPr>
          <w:ilvl w:val="0"/>
          <w:numId w:val="22"/>
        </w:numPr>
        <w:spacing w:after="120"/>
        <w:rPr>
          <w:color w:val="000000"/>
        </w:rPr>
      </w:pPr>
      <w:r w:rsidRPr="00501E9B">
        <w:rPr>
          <w:b/>
          <w:bCs/>
          <w:color w:val="000000"/>
        </w:rPr>
        <w:t xml:space="preserve">La première </w:t>
      </w:r>
      <w:r w:rsidR="00DB7878">
        <w:rPr>
          <w:b/>
          <w:bCs/>
          <w:color w:val="000000"/>
        </w:rPr>
        <w:t xml:space="preserve">phase </w:t>
      </w:r>
      <w:r w:rsidRPr="00501E9B">
        <w:rPr>
          <w:color w:val="000000"/>
        </w:rPr>
        <w:t xml:space="preserve">portera sur le programme AdaptAction dans son ensemble : </w:t>
      </w:r>
      <w:r w:rsidR="00186759">
        <w:rPr>
          <w:color w:val="000000"/>
        </w:rPr>
        <w:t xml:space="preserve">il s’agira d’évaluer la pertinence de </w:t>
      </w:r>
      <w:r w:rsidR="00186759" w:rsidRPr="00637B97">
        <w:rPr>
          <w:b/>
          <w:bCs/>
          <w:color w:val="000000"/>
        </w:rPr>
        <w:t>la logique d’intervention retenue</w:t>
      </w:r>
      <w:r w:rsidR="00186759" w:rsidRPr="00501E9B">
        <w:rPr>
          <w:color w:val="000000"/>
        </w:rPr>
        <w:t xml:space="preserve"> (appui institutionnel, renforcement de capacités, intégration de l’adaptation dans les politiques publiques</w:t>
      </w:r>
      <w:r w:rsidR="00186759" w:rsidRPr="002C50D8">
        <w:rPr>
          <w:color w:val="000000"/>
        </w:rPr>
        <w:t>, préparation de projets d’adaptation</w:t>
      </w:r>
      <w:r w:rsidR="00186759" w:rsidRPr="00501E9B">
        <w:rPr>
          <w:color w:val="000000"/>
        </w:rPr>
        <w:t>)</w:t>
      </w:r>
      <w:r w:rsidR="00186759">
        <w:rPr>
          <w:color w:val="000000"/>
        </w:rPr>
        <w:t xml:space="preserve">, la cohérence de son </w:t>
      </w:r>
      <w:r w:rsidR="00186759" w:rsidRPr="00637B97">
        <w:rPr>
          <w:b/>
          <w:bCs/>
          <w:color w:val="000000"/>
        </w:rPr>
        <w:t>dispositif de pilotage et de gouvernance</w:t>
      </w:r>
      <w:r w:rsidR="00186759">
        <w:rPr>
          <w:color w:val="000000"/>
        </w:rPr>
        <w:t xml:space="preserve"> ainsi que l’efficience de ses procédures. </w:t>
      </w:r>
      <w:r w:rsidRPr="00186759">
        <w:rPr>
          <w:color w:val="000000"/>
        </w:rPr>
        <w:t xml:space="preserve">Cette composante correspond à une </w:t>
      </w:r>
      <w:r w:rsidRPr="00186759">
        <w:rPr>
          <w:b/>
          <w:bCs/>
          <w:color w:val="000000"/>
        </w:rPr>
        <w:t>évaluation champ large</w:t>
      </w:r>
      <w:r w:rsidRPr="00186759">
        <w:rPr>
          <w:color w:val="000000"/>
        </w:rPr>
        <w:t xml:space="preserve">. </w:t>
      </w:r>
    </w:p>
    <w:p w14:paraId="7C9E0D6C" w14:textId="1AC88EE6" w:rsidR="00501E9B" w:rsidRDefault="00501E9B" w:rsidP="00BA25AF">
      <w:pPr>
        <w:numPr>
          <w:ilvl w:val="0"/>
          <w:numId w:val="22"/>
        </w:numPr>
        <w:spacing w:after="120"/>
        <w:rPr>
          <w:color w:val="000000"/>
        </w:rPr>
      </w:pPr>
      <w:r w:rsidRPr="00501E9B">
        <w:rPr>
          <w:b/>
          <w:bCs/>
          <w:color w:val="000000"/>
        </w:rPr>
        <w:t xml:space="preserve">La seconde </w:t>
      </w:r>
      <w:r w:rsidR="00DB7878">
        <w:rPr>
          <w:b/>
          <w:bCs/>
          <w:color w:val="000000"/>
        </w:rPr>
        <w:t>phase</w:t>
      </w:r>
      <w:r w:rsidR="00DB7878" w:rsidRPr="00501E9B">
        <w:rPr>
          <w:color w:val="000000"/>
        </w:rPr>
        <w:t xml:space="preserve"> </w:t>
      </w:r>
      <w:r w:rsidR="003D7108" w:rsidRPr="003D7108">
        <w:rPr>
          <w:color w:val="000000"/>
        </w:rPr>
        <w:t xml:space="preserve">portera sur une </w:t>
      </w:r>
      <w:r w:rsidR="003D7108" w:rsidRPr="003D7108">
        <w:rPr>
          <w:b/>
          <w:bCs/>
          <w:color w:val="000000"/>
        </w:rPr>
        <w:t>revue du portefeuille AdaptAction</w:t>
      </w:r>
      <w:r w:rsidR="003D7108" w:rsidRPr="003D7108">
        <w:rPr>
          <w:color w:val="000000"/>
        </w:rPr>
        <w:t xml:space="preserve">, suivie d’un </w:t>
      </w:r>
      <w:r w:rsidR="0067211F">
        <w:rPr>
          <w:color w:val="000000"/>
        </w:rPr>
        <w:t xml:space="preserve">premier </w:t>
      </w:r>
      <w:r w:rsidR="003D7108" w:rsidRPr="003D7108">
        <w:rPr>
          <w:b/>
          <w:bCs/>
          <w:color w:val="000000"/>
        </w:rPr>
        <w:t>échantillonnage ciblé</w:t>
      </w:r>
      <w:r w:rsidR="003D7108" w:rsidRPr="003D7108">
        <w:rPr>
          <w:color w:val="000000"/>
        </w:rPr>
        <w:t xml:space="preserve"> pour une analyse approfondie</w:t>
      </w:r>
      <w:r w:rsidR="0067211F">
        <w:rPr>
          <w:color w:val="000000"/>
        </w:rPr>
        <w:t xml:space="preserve"> (documentation projet, entretiens ciblés) permettant de donner davantage de relief à la revue de portefeuille</w:t>
      </w:r>
      <w:r w:rsidR="003D7108" w:rsidRPr="003D7108">
        <w:rPr>
          <w:color w:val="000000"/>
        </w:rPr>
        <w:t>.</w:t>
      </w:r>
      <w:r w:rsidR="003D7108">
        <w:rPr>
          <w:color w:val="000000"/>
        </w:rPr>
        <w:t xml:space="preserve"> </w:t>
      </w:r>
      <w:r w:rsidR="003D7108" w:rsidRPr="003D7108">
        <w:rPr>
          <w:color w:val="000000"/>
        </w:rPr>
        <w:t xml:space="preserve">Après une </w:t>
      </w:r>
      <w:r w:rsidR="003D7108" w:rsidRPr="003D7108">
        <w:rPr>
          <w:b/>
          <w:bCs/>
          <w:color w:val="000000"/>
        </w:rPr>
        <w:t>analyse globale</w:t>
      </w:r>
      <w:r w:rsidR="003D7108" w:rsidRPr="003D7108">
        <w:rPr>
          <w:color w:val="000000"/>
        </w:rPr>
        <w:t xml:space="preserve"> du portefeuille (répartition, typologies, tendances), un</w:t>
      </w:r>
      <w:r w:rsidR="0067211F">
        <w:rPr>
          <w:color w:val="000000"/>
        </w:rPr>
        <w:t xml:space="preserve"> deuxième niveau d’</w:t>
      </w:r>
      <w:r w:rsidR="003D7108" w:rsidRPr="003D7108">
        <w:rPr>
          <w:b/>
          <w:bCs/>
          <w:color w:val="000000"/>
        </w:rPr>
        <w:t>échantillon restreint d’appuis</w:t>
      </w:r>
      <w:r w:rsidR="00990AD1">
        <w:rPr>
          <w:b/>
          <w:bCs/>
          <w:color w:val="000000"/>
        </w:rPr>
        <w:t xml:space="preserve"> </w:t>
      </w:r>
      <w:r w:rsidR="00990AD1" w:rsidRPr="003B1022">
        <w:rPr>
          <w:color w:val="000000"/>
        </w:rPr>
        <w:t>(max 15)</w:t>
      </w:r>
      <w:r w:rsidR="003D7108" w:rsidRPr="003D7108">
        <w:rPr>
          <w:color w:val="000000"/>
        </w:rPr>
        <w:t xml:space="preserve"> </w:t>
      </w:r>
      <w:r w:rsidR="00990AD1">
        <w:rPr>
          <w:color w:val="000000"/>
        </w:rPr>
        <w:t xml:space="preserve">sur 4-5 zones géographique, </w:t>
      </w:r>
      <w:r w:rsidR="003D7108" w:rsidRPr="003D7108">
        <w:rPr>
          <w:color w:val="000000"/>
        </w:rPr>
        <w:t xml:space="preserve">sera étudié </w:t>
      </w:r>
      <w:r w:rsidR="0067211F">
        <w:rPr>
          <w:color w:val="000000"/>
        </w:rPr>
        <w:t xml:space="preserve">encore plus </w:t>
      </w:r>
      <w:r w:rsidR="003D7108" w:rsidRPr="003D7108">
        <w:rPr>
          <w:color w:val="000000"/>
        </w:rPr>
        <w:t>en détail</w:t>
      </w:r>
      <w:r w:rsidR="0067211F">
        <w:rPr>
          <w:color w:val="000000"/>
        </w:rPr>
        <w:t xml:space="preserve"> (entretiens d’un plus large éventail d’acteurs, éventuelles missions sur le terrain)</w:t>
      </w:r>
      <w:r w:rsidR="003D7108" w:rsidRPr="003D7108">
        <w:rPr>
          <w:color w:val="000000"/>
        </w:rPr>
        <w:t xml:space="preserve">, organisé </w:t>
      </w:r>
      <w:r w:rsidR="003D7108">
        <w:rPr>
          <w:color w:val="000000"/>
        </w:rPr>
        <w:t>sur un échantillon</w:t>
      </w:r>
      <w:r w:rsidR="003D7108" w:rsidRPr="003D7108">
        <w:rPr>
          <w:color w:val="000000"/>
        </w:rPr>
        <w:t xml:space="preserve"> afin de refléter la diversité des approches et des contextes</w:t>
      </w:r>
      <w:r w:rsidR="00271A21">
        <w:rPr>
          <w:color w:val="000000"/>
        </w:rPr>
        <w:t>, et donneront lieu à la production d’études de cas</w:t>
      </w:r>
      <w:r w:rsidR="003D7108" w:rsidRPr="003D7108">
        <w:rPr>
          <w:color w:val="000000"/>
        </w:rPr>
        <w:t>.</w:t>
      </w:r>
      <w:r w:rsidR="00990AD1">
        <w:rPr>
          <w:color w:val="000000"/>
        </w:rPr>
        <w:t xml:space="preserve"> </w:t>
      </w:r>
    </w:p>
    <w:p w14:paraId="19695AC7" w14:textId="1C03E745" w:rsidR="00896CE7" w:rsidRDefault="00896CE7" w:rsidP="00DB7878">
      <w:pPr>
        <w:spacing w:after="120"/>
        <w:rPr>
          <w:color w:val="000000"/>
        </w:rPr>
      </w:pPr>
      <w:r w:rsidRPr="00FD07CB">
        <w:rPr>
          <w:b/>
          <w:bCs/>
          <w:color w:val="000000"/>
        </w:rPr>
        <w:t xml:space="preserve">Le périmètre de l’évaluation </w:t>
      </w:r>
      <w:r w:rsidRPr="00637B97">
        <w:rPr>
          <w:color w:val="000000"/>
        </w:rPr>
        <w:t>couvrira la mise en œuvre du programme AdaptAction depuis son lancement en 2017 jusqu’à aujourd’hui (phases 1 et 2). L’extension Afrique du Nord, Moyen-Orient ainsi que le Bangladesh ne seront pas inclus dans cette évaluation, ces volets n’ayant démarré que récemment. Ils feront l’objet d’une évaluation spécifique ultérieure</w:t>
      </w:r>
    </w:p>
    <w:p w14:paraId="35C87C3D" w14:textId="77777777" w:rsidR="003B0133" w:rsidRDefault="003B0133" w:rsidP="00DB7878">
      <w:pPr>
        <w:spacing w:after="120"/>
        <w:rPr>
          <w:color w:val="000000"/>
        </w:rPr>
      </w:pPr>
    </w:p>
    <w:p w14:paraId="5DE2FFB4" w14:textId="0A07D86F" w:rsidR="00D32119" w:rsidRDefault="00D32119" w:rsidP="00DB7878">
      <w:pPr>
        <w:spacing w:after="120"/>
        <w:rPr>
          <w:color w:val="000000"/>
        </w:rPr>
      </w:pPr>
      <w:r w:rsidRPr="00D32119">
        <w:rPr>
          <w:color w:val="000000"/>
        </w:rPr>
        <w:t xml:space="preserve">L’évaluation s’appuiera sur un ensemble de </w:t>
      </w:r>
      <w:r w:rsidRPr="003B1022">
        <w:rPr>
          <w:b/>
          <w:bCs/>
          <w:color w:val="000000"/>
        </w:rPr>
        <w:t>questions et d’orientations méthodologiques</w:t>
      </w:r>
      <w:r w:rsidRPr="00D32119">
        <w:rPr>
          <w:color w:val="000000"/>
        </w:rPr>
        <w:t xml:space="preserve"> destinées à en faciliter le traitement. La phase de cadrage permettra d’affiner leur formulation, de préciser la démarche analytique retenue et de valider la structuration globale de l’évaluation. Il est attendu que l’offre technique présente une compréhension argumentée de ces questions et avance des premières propositions méthodologiques pour leur traitement. Les soumissionnaires sont encouragés à compléter, amender ou reformuler ces questions, dans la mesure où cela contribue à renforcer la pertinence, la clarté et la faisabilité de l’évaluation.</w:t>
      </w:r>
    </w:p>
    <w:p w14:paraId="5260AE0F" w14:textId="77777777" w:rsidR="00D32119" w:rsidRPr="002302B6" w:rsidRDefault="00D32119" w:rsidP="00D32119">
      <w:r w:rsidRPr="002302B6">
        <w:t>L’évaluation s’articulera autour de trois axes complémentaires :</w:t>
      </w:r>
    </w:p>
    <w:p w14:paraId="62025189" w14:textId="77777777" w:rsidR="00D32119" w:rsidRPr="002302B6" w:rsidRDefault="00D32119" w:rsidP="00D32119">
      <w:pPr>
        <w:numPr>
          <w:ilvl w:val="0"/>
          <w:numId w:val="45"/>
        </w:numPr>
      </w:pPr>
      <w:r w:rsidRPr="002302B6">
        <w:rPr>
          <w:b/>
          <w:bCs/>
        </w:rPr>
        <w:t>L</w:t>
      </w:r>
      <w:r>
        <w:rPr>
          <w:b/>
          <w:bCs/>
        </w:rPr>
        <w:t>a</w:t>
      </w:r>
      <w:r w:rsidRPr="002302B6">
        <w:rPr>
          <w:b/>
          <w:bCs/>
        </w:rPr>
        <w:t xml:space="preserve"> logique d’intervention du programme et leurs évolutions</w:t>
      </w:r>
    </w:p>
    <w:p w14:paraId="0DFED7AE" w14:textId="77777777" w:rsidR="00D32119" w:rsidRPr="002302B6" w:rsidRDefault="00D32119" w:rsidP="00D32119">
      <w:pPr>
        <w:numPr>
          <w:ilvl w:val="0"/>
          <w:numId w:val="45"/>
        </w:numPr>
      </w:pPr>
      <w:r w:rsidRPr="002302B6">
        <w:rPr>
          <w:b/>
          <w:bCs/>
        </w:rPr>
        <w:t>La gouvernance et le pilotage stratégique</w:t>
      </w:r>
    </w:p>
    <w:p w14:paraId="04A4D8B3" w14:textId="57E44957" w:rsidR="00D32119" w:rsidRDefault="00D32119" w:rsidP="00D32119">
      <w:pPr>
        <w:numPr>
          <w:ilvl w:val="0"/>
          <w:numId w:val="45"/>
        </w:numPr>
      </w:pPr>
      <w:r w:rsidRPr="002302B6">
        <w:rPr>
          <w:b/>
          <w:bCs/>
        </w:rPr>
        <w:t>L’analyse du portefeuille de projets</w:t>
      </w:r>
      <w:r w:rsidRPr="002302B6">
        <w:t xml:space="preserve"> (à la fois une photographie globale et un approfondissement à travers </w:t>
      </w:r>
      <w:r>
        <w:t>un échantillon géographique avec un croisement thématique</w:t>
      </w:r>
      <w:r w:rsidRPr="002302B6">
        <w:t>).</w:t>
      </w:r>
    </w:p>
    <w:p w14:paraId="3FB52E35" w14:textId="77777777" w:rsidR="00D32119" w:rsidRPr="002302B6" w:rsidRDefault="00D32119" w:rsidP="003B1022">
      <w:pPr>
        <w:ind w:left="720"/>
      </w:pPr>
    </w:p>
    <w:p w14:paraId="6B595CE1" w14:textId="34066131" w:rsidR="00D32119" w:rsidRDefault="00D32119">
      <w:r w:rsidRPr="002302B6">
        <w:t>Cette structuration permettra d’évaluer la pertinence, la cohérence et la valeur ajoutée d’AdaptAction, tout en identifiant les conditions de réussite, les limites rencontrées et les recommandations utiles pour l’avenir.</w:t>
      </w:r>
      <w:r w:rsidR="0074642A">
        <w:t xml:space="preserve"> Deux questions « fil rouge » guideront les analyses en transversal à travers ces 3 phases :</w:t>
      </w:r>
    </w:p>
    <w:p w14:paraId="7C78C7C9" w14:textId="738A1CA5" w:rsidR="0074642A" w:rsidRDefault="0074642A" w:rsidP="0074642A">
      <w:pPr>
        <w:pStyle w:val="Paragraphedeliste"/>
        <w:numPr>
          <w:ilvl w:val="0"/>
          <w:numId w:val="17"/>
        </w:numPr>
      </w:pPr>
      <w:r>
        <w:t>Dans quelle mesure le programme AA a-t-il permis de répondre aux attentes de nos pays partenaires et d</w:t>
      </w:r>
      <w:r w:rsidR="003C505F">
        <w:t>e l’Equipe</w:t>
      </w:r>
      <w:r>
        <w:t xml:space="preserve"> France ?</w:t>
      </w:r>
    </w:p>
    <w:p w14:paraId="399DF15C" w14:textId="6AFD377C" w:rsidR="0074642A" w:rsidRPr="003B1022" w:rsidRDefault="0074642A" w:rsidP="003C505F">
      <w:pPr>
        <w:pStyle w:val="Paragraphedeliste"/>
        <w:numPr>
          <w:ilvl w:val="0"/>
          <w:numId w:val="17"/>
        </w:numPr>
      </w:pPr>
      <w:r>
        <w:t>Quelles ont été les innovations et réussites majeures du programme AA à répliquer // les faiblesses à améliorer voire éviter ?</w:t>
      </w:r>
    </w:p>
    <w:p w14:paraId="02E103F0" w14:textId="77777777" w:rsidR="003B0133" w:rsidRDefault="003B0133" w:rsidP="003B0133"/>
    <w:p w14:paraId="7AD875ED" w14:textId="075A9430" w:rsidR="003B0133" w:rsidRDefault="003C505F" w:rsidP="00DB7878">
      <w:pPr>
        <w:spacing w:after="120"/>
        <w:rPr>
          <w:color w:val="000000"/>
        </w:rPr>
      </w:pPr>
      <w:r>
        <w:rPr>
          <w:color w:val="000000"/>
        </w:rPr>
        <w:t>Ces grandes questions transversales sont déclinées et précisées ci-dessous.</w:t>
      </w:r>
    </w:p>
    <w:p w14:paraId="08946C42" w14:textId="77777777" w:rsidR="00501E9B" w:rsidRPr="002C50D8" w:rsidRDefault="00501E9B" w:rsidP="00637B97"/>
    <w:p w14:paraId="2F6C8D0C" w14:textId="22780CBB" w:rsidR="00501E9B" w:rsidRPr="002C50D8" w:rsidRDefault="00D32119" w:rsidP="00BA25AF">
      <w:pPr>
        <w:pStyle w:val="Titre2"/>
        <w:numPr>
          <w:ilvl w:val="1"/>
          <w:numId w:val="4"/>
        </w:numPr>
      </w:pPr>
      <w:bookmarkStart w:id="27" w:name="_Toc211411316"/>
      <w:r>
        <w:t>Phase 1 : Evaluation champs large : Logique d’intervention, gouvernance et pilotage stratégique</w:t>
      </w:r>
      <w:bookmarkEnd w:id="27"/>
    </w:p>
    <w:p w14:paraId="532C0029" w14:textId="0A34DF75" w:rsidR="00A61543" w:rsidRPr="002C50D8" w:rsidRDefault="00A61543" w:rsidP="00141412">
      <w:pPr>
        <w:pBdr>
          <w:top w:val="nil"/>
          <w:left w:val="nil"/>
          <w:bottom w:val="nil"/>
          <w:right w:val="nil"/>
          <w:between w:val="nil"/>
        </w:pBdr>
        <w:rPr>
          <w:i/>
          <w:color w:val="000000"/>
          <w:sz w:val="20"/>
          <w:szCs w:val="20"/>
        </w:rPr>
      </w:pPr>
    </w:p>
    <w:p w14:paraId="61BF7A60" w14:textId="77777777" w:rsidR="00D30D25" w:rsidRPr="002C50D8" w:rsidRDefault="00D30D25" w:rsidP="00F05F1A"/>
    <w:p w14:paraId="63D07479" w14:textId="77777777" w:rsidR="009E1C06" w:rsidRPr="009E1C06" w:rsidRDefault="009E1C06" w:rsidP="009E1C06"/>
    <w:p w14:paraId="511FABDA" w14:textId="617181F6" w:rsidR="00FD2023" w:rsidRPr="007065EF" w:rsidRDefault="00FD2023" w:rsidP="007065EF">
      <w:pPr>
        <w:pStyle w:val="Paragraphedeliste"/>
        <w:numPr>
          <w:ilvl w:val="1"/>
          <w:numId w:val="55"/>
        </w:numPr>
        <w:rPr>
          <w:b/>
          <w:bCs/>
        </w:rPr>
      </w:pPr>
      <w:r w:rsidRPr="007065EF">
        <w:rPr>
          <w:b/>
          <w:bCs/>
        </w:rPr>
        <w:t>L</w:t>
      </w:r>
      <w:r w:rsidR="00DB7878">
        <w:rPr>
          <w:b/>
          <w:bCs/>
        </w:rPr>
        <w:t>a</w:t>
      </w:r>
      <w:r w:rsidRPr="007065EF">
        <w:rPr>
          <w:b/>
          <w:bCs/>
        </w:rPr>
        <w:t xml:space="preserve"> logique d’intervention du programme et leurs évolutions</w:t>
      </w:r>
    </w:p>
    <w:p w14:paraId="01E17040" w14:textId="77777777" w:rsidR="000133FD" w:rsidRDefault="000133FD" w:rsidP="00FD2023">
      <w:pPr>
        <w:rPr>
          <w:b/>
          <w:bCs/>
        </w:rPr>
      </w:pPr>
    </w:p>
    <w:p w14:paraId="235B3F04" w14:textId="47026B47" w:rsidR="000133FD" w:rsidRDefault="000133FD" w:rsidP="00FD2023">
      <w:r w:rsidRPr="007065EF">
        <w:rPr>
          <w:b/>
          <w:bCs/>
        </w:rPr>
        <w:t xml:space="preserve">L’évaluation analysera la pertinence, l’adaptabilité et la cohérence </w:t>
      </w:r>
      <w:r w:rsidRPr="00EA083A">
        <w:t>d</w:t>
      </w:r>
      <w:r w:rsidR="00637B97" w:rsidRPr="00EA083A">
        <w:t>e</w:t>
      </w:r>
      <w:r w:rsidR="00637B97">
        <w:t xml:space="preserve"> la</w:t>
      </w:r>
      <w:r w:rsidRPr="007065EF">
        <w:t xml:space="preserve"> logique d’intervention d’AdaptAction (appui institutionnel, intégration de l’adaptation dans les politiques publiques, renforcement des capacités, préparation de projets, accès à la finance climat). Elle cherchera notamment à répondre aux questions suivantes :</w:t>
      </w:r>
    </w:p>
    <w:p w14:paraId="1139E2E0" w14:textId="77777777" w:rsidR="00DB7878" w:rsidRDefault="00DB7878" w:rsidP="00FD2023"/>
    <w:p w14:paraId="3B8E49C7" w14:textId="0C804FA4" w:rsidR="00DB7878" w:rsidRPr="003B1022" w:rsidRDefault="00DB7878" w:rsidP="00FD2023">
      <w:pPr>
        <w:rPr>
          <w:u w:val="single"/>
        </w:rPr>
      </w:pPr>
      <w:r w:rsidRPr="003B1022">
        <w:rPr>
          <w:u w:val="single"/>
        </w:rPr>
        <w:t>Vers nos contreparties :</w:t>
      </w:r>
    </w:p>
    <w:p w14:paraId="63E353F1" w14:textId="1124B975" w:rsidR="000133FD" w:rsidRDefault="000133FD" w:rsidP="007065EF">
      <w:pPr>
        <w:pStyle w:val="Paragraphedeliste"/>
        <w:numPr>
          <w:ilvl w:val="0"/>
          <w:numId w:val="46"/>
        </w:numPr>
      </w:pPr>
      <w:r>
        <w:t xml:space="preserve">Dans quelle mesure ces logiques ont-elles été pertinentes pour répondre aux enjeux d’adaptation et de développement dans les pays </w:t>
      </w:r>
      <w:r w:rsidR="00C74EEB">
        <w:t>partenaires ?</w:t>
      </w:r>
    </w:p>
    <w:p w14:paraId="23183B17" w14:textId="77777777" w:rsidR="000133FD" w:rsidRDefault="000133FD" w:rsidP="000133FD"/>
    <w:p w14:paraId="739FA277" w14:textId="66F506DA" w:rsidR="000133FD" w:rsidRDefault="000133FD" w:rsidP="007065EF">
      <w:pPr>
        <w:pStyle w:val="Paragraphedeliste"/>
        <w:numPr>
          <w:ilvl w:val="0"/>
          <w:numId w:val="46"/>
        </w:numPr>
      </w:pPr>
      <w:r>
        <w:t xml:space="preserve">Comment ont-elles été mobilisées par l’AFD comme cadre de référence pour la mise en œuvre du programme, et par les pays partenaires comme leviers de pilotage de leurs propres politiques </w:t>
      </w:r>
      <w:r w:rsidR="00DB7878">
        <w:t xml:space="preserve">publiques </w:t>
      </w:r>
      <w:r>
        <w:t>d’adaptation ?</w:t>
      </w:r>
    </w:p>
    <w:p w14:paraId="4E28A983" w14:textId="77777777" w:rsidR="000133FD" w:rsidRDefault="000133FD" w:rsidP="000133FD"/>
    <w:p w14:paraId="08FBF137" w14:textId="77777777" w:rsidR="000133FD" w:rsidRDefault="000133FD" w:rsidP="007065EF">
      <w:pPr>
        <w:pStyle w:val="Paragraphedeliste"/>
        <w:numPr>
          <w:ilvl w:val="0"/>
          <w:numId w:val="46"/>
        </w:numPr>
      </w:pPr>
      <w:r>
        <w:t>Dans quelle mesure ont-elles su s’adapter aux évolutions contextuelles et institutionnelles rencontrées ?</w:t>
      </w:r>
    </w:p>
    <w:p w14:paraId="446190AA" w14:textId="77777777" w:rsidR="000133FD" w:rsidRDefault="000133FD" w:rsidP="000133FD"/>
    <w:p w14:paraId="0587778D" w14:textId="1B1EDD95" w:rsidR="008F52E7" w:rsidRDefault="00DB7878" w:rsidP="000133FD">
      <w:r w:rsidRPr="003B1022">
        <w:rPr>
          <w:u w:val="single"/>
        </w:rPr>
        <w:t>Pour l’interne AFD :</w:t>
      </w:r>
    </w:p>
    <w:p w14:paraId="6DF7A0BF" w14:textId="6C04D03C" w:rsidR="000133FD" w:rsidRDefault="000133FD" w:rsidP="007065EF">
      <w:pPr>
        <w:pStyle w:val="Paragraphedeliste"/>
        <w:numPr>
          <w:ilvl w:val="0"/>
          <w:numId w:val="46"/>
        </w:numPr>
      </w:pPr>
      <w:r>
        <w:t xml:space="preserve">En quoi ces logiques sont-elles alignées avec la feuille de route Planète (2025), les stratégies d’intervention climat de l’AFD et les priorités </w:t>
      </w:r>
      <w:r w:rsidR="00990AD1">
        <w:t>internationales et</w:t>
      </w:r>
      <w:r w:rsidR="00D32119" w:rsidRPr="00D32119">
        <w:t xml:space="preserve"> dans quelle mesure ont-elles contribué à la diffusion et à l’appropriation de l’agenda adaptation au sein de l’AFD ainsi qu’à la génération d’externalités positives sur d’autres opérations du Groupe ?</w:t>
      </w:r>
    </w:p>
    <w:p w14:paraId="4FDEBB2B" w14:textId="77777777" w:rsidR="000133FD" w:rsidRDefault="000133FD" w:rsidP="000133FD"/>
    <w:p w14:paraId="66688B06" w14:textId="4C0211B4" w:rsidR="00A64DD3" w:rsidRDefault="000133FD" w:rsidP="007065EF">
      <w:pPr>
        <w:pStyle w:val="Paragraphedeliste"/>
        <w:numPr>
          <w:ilvl w:val="0"/>
          <w:numId w:val="46"/>
        </w:numPr>
      </w:pPr>
      <w:r>
        <w:t>Quelles complémentarités ont-elles établies avec les autres financements climat de l’AFD (FAPS, CICLIA, PEEP, etc.)</w:t>
      </w:r>
      <w:r w:rsidR="00A64DD3">
        <w:t> ?</w:t>
      </w:r>
    </w:p>
    <w:p w14:paraId="45009D68" w14:textId="77777777" w:rsidR="00990AD1" w:rsidRDefault="00990AD1" w:rsidP="003B1022">
      <w:pPr>
        <w:pStyle w:val="Paragraphedeliste"/>
      </w:pPr>
    </w:p>
    <w:p w14:paraId="35900249" w14:textId="77777777" w:rsidR="00990AD1" w:rsidRDefault="00990AD1" w:rsidP="00990AD1">
      <w:pPr>
        <w:pStyle w:val="Paragraphedeliste"/>
        <w:numPr>
          <w:ilvl w:val="0"/>
          <w:numId w:val="46"/>
        </w:numPr>
      </w:pPr>
      <w:r>
        <w:t>Dans quelle mesure les moyens humains et financiers mobilisés (budget, dispositif RH, ingénierie de pilotage) ont-ils été cohérents avec les ambitions stratégiques du programme, et comment cette cohérence a-t-elle évolué entre les deux phases ?</w:t>
      </w:r>
    </w:p>
    <w:p w14:paraId="70B46A48" w14:textId="77777777" w:rsidR="00990AD1" w:rsidRDefault="00990AD1" w:rsidP="003B1022">
      <w:pPr>
        <w:pStyle w:val="Paragraphedeliste"/>
      </w:pPr>
    </w:p>
    <w:p w14:paraId="6EB8DCEF" w14:textId="235F0F5F" w:rsidR="00990AD1" w:rsidRDefault="00990AD1" w:rsidP="00990AD1">
      <w:pPr>
        <w:pStyle w:val="Paragraphedeliste"/>
        <w:numPr>
          <w:ilvl w:val="0"/>
          <w:numId w:val="46"/>
        </w:numPr>
      </w:pPr>
      <w:r>
        <w:t>Quel</w:t>
      </w:r>
      <w:r w:rsidR="003B1022">
        <w:t>le appréciation peut-on faire du</w:t>
      </w:r>
      <w:r>
        <w:t xml:space="preserve"> rapport coût–efficacité (“value for money”) du dispositif, notamment en termes de performance, d’organisation et de gouvernance ?</w:t>
      </w:r>
    </w:p>
    <w:p w14:paraId="6DB01365" w14:textId="77777777" w:rsidR="00A64DD3" w:rsidRDefault="00A64DD3" w:rsidP="00C74EEB">
      <w:pPr>
        <w:pStyle w:val="Paragraphedeliste"/>
      </w:pPr>
    </w:p>
    <w:p w14:paraId="1803E491" w14:textId="6BAD3D37" w:rsidR="00A64DD3" w:rsidRPr="00C74EEB" w:rsidRDefault="00A64DD3" w:rsidP="00A64DD3">
      <w:pPr>
        <w:pStyle w:val="Commentaire"/>
        <w:numPr>
          <w:ilvl w:val="0"/>
          <w:numId w:val="46"/>
        </w:numPr>
        <w:rPr>
          <w:sz w:val="22"/>
          <w:szCs w:val="22"/>
        </w:rPr>
      </w:pPr>
      <w:r w:rsidRPr="00C74EEB">
        <w:rPr>
          <w:sz w:val="22"/>
          <w:szCs w:val="22"/>
        </w:rPr>
        <w:t>Dans quelle mesure le programme a participé à la diffusion de l’agenda adaptation au sein de l’AFD</w:t>
      </w:r>
      <w:r>
        <w:rPr>
          <w:sz w:val="22"/>
          <w:szCs w:val="22"/>
        </w:rPr>
        <w:t> ? A</w:t>
      </w:r>
      <w:r w:rsidRPr="00C74EEB">
        <w:rPr>
          <w:sz w:val="22"/>
          <w:szCs w:val="22"/>
        </w:rPr>
        <w:t xml:space="preserve"> l’appropriation par les équipes de l’AFD et les partenaires de l’agenda adaptation</w:t>
      </w:r>
      <w:r>
        <w:rPr>
          <w:sz w:val="22"/>
          <w:szCs w:val="22"/>
        </w:rPr>
        <w:t xml:space="preserve"> ? </w:t>
      </w:r>
      <w:r w:rsidRPr="00C74EEB">
        <w:rPr>
          <w:sz w:val="22"/>
          <w:szCs w:val="22"/>
        </w:rPr>
        <w:t xml:space="preserve"> </w:t>
      </w:r>
    </w:p>
    <w:p w14:paraId="110608FD" w14:textId="4A070F64" w:rsidR="008F52E7" w:rsidRPr="00A64DD3" w:rsidRDefault="008F52E7" w:rsidP="00C74EEB">
      <w:pPr>
        <w:pStyle w:val="Paragraphedeliste"/>
      </w:pPr>
    </w:p>
    <w:p w14:paraId="2F93792D" w14:textId="77777777" w:rsidR="008F52E7" w:rsidRDefault="008F52E7" w:rsidP="00C74EEB">
      <w:pPr>
        <w:pStyle w:val="Paragraphedeliste"/>
      </w:pPr>
    </w:p>
    <w:p w14:paraId="4F01BB5F" w14:textId="77777777" w:rsidR="008F52E7" w:rsidRPr="003B1022" w:rsidRDefault="008F52E7" w:rsidP="008F52E7">
      <w:pPr>
        <w:rPr>
          <w:u w:val="single"/>
        </w:rPr>
      </w:pPr>
      <w:r w:rsidRPr="003B1022">
        <w:rPr>
          <w:u w:val="single"/>
        </w:rPr>
        <w:t>En équipe France :</w:t>
      </w:r>
    </w:p>
    <w:p w14:paraId="5E4F73B0" w14:textId="77777777" w:rsidR="008F52E7" w:rsidRDefault="008F52E7" w:rsidP="008F52E7"/>
    <w:p w14:paraId="706BC836" w14:textId="6CD3079C" w:rsidR="008F52E7" w:rsidRPr="00D32119" w:rsidRDefault="008F52E7" w:rsidP="003B1022">
      <w:pPr>
        <w:pStyle w:val="Commentaire"/>
        <w:numPr>
          <w:ilvl w:val="0"/>
          <w:numId w:val="46"/>
        </w:numPr>
      </w:pPr>
      <w:r w:rsidRPr="00D32119">
        <w:rPr>
          <w:sz w:val="22"/>
          <w:szCs w:val="22"/>
        </w:rPr>
        <w:lastRenderedPageBreak/>
        <w:t>Dans quelle mesure le programme Adapt</w:t>
      </w:r>
      <w:r w:rsidR="00D32119">
        <w:rPr>
          <w:sz w:val="22"/>
          <w:szCs w:val="22"/>
        </w:rPr>
        <w:t>A</w:t>
      </w:r>
      <w:r w:rsidRPr="00D32119">
        <w:rPr>
          <w:sz w:val="22"/>
          <w:szCs w:val="22"/>
        </w:rPr>
        <w:t xml:space="preserve">ction contribue-t-il à </w:t>
      </w:r>
      <w:r w:rsidR="00A64DD3" w:rsidRPr="00D32119">
        <w:rPr>
          <w:sz w:val="22"/>
          <w:szCs w:val="22"/>
        </w:rPr>
        <w:t xml:space="preserve">renforcer </w:t>
      </w:r>
      <w:r w:rsidRPr="00D32119">
        <w:rPr>
          <w:sz w:val="22"/>
          <w:szCs w:val="22"/>
        </w:rPr>
        <w:t xml:space="preserve">la visibilité </w:t>
      </w:r>
      <w:r w:rsidR="00A64DD3" w:rsidRPr="00D32119">
        <w:rPr>
          <w:sz w:val="22"/>
          <w:szCs w:val="22"/>
        </w:rPr>
        <w:t xml:space="preserve">et les synergies </w:t>
      </w:r>
      <w:r w:rsidRPr="00D32119">
        <w:rPr>
          <w:sz w:val="22"/>
          <w:szCs w:val="22"/>
        </w:rPr>
        <w:t>du Groupe AFD sur l’adaptation ?</w:t>
      </w:r>
      <w:r w:rsidR="007246FF" w:rsidRPr="00D32119">
        <w:rPr>
          <w:sz w:val="22"/>
          <w:szCs w:val="22"/>
        </w:rPr>
        <w:t xml:space="preserve"> A la diplomatie française sur le sujet (en lien notamment avec l’ambassadeur climat) ?</w:t>
      </w:r>
    </w:p>
    <w:p w14:paraId="51AB22FF" w14:textId="77777777" w:rsidR="008F52E7" w:rsidRDefault="008F52E7" w:rsidP="00C74EEB"/>
    <w:p w14:paraId="799A0DE1" w14:textId="77777777" w:rsidR="000133FD" w:rsidRDefault="000133FD" w:rsidP="000133FD"/>
    <w:p w14:paraId="774923F5" w14:textId="0939E5A6" w:rsidR="008F52E7" w:rsidRPr="003B1022" w:rsidRDefault="008F52E7" w:rsidP="008F52E7">
      <w:pPr>
        <w:rPr>
          <w:u w:val="single"/>
        </w:rPr>
      </w:pPr>
      <w:r w:rsidRPr="003B1022">
        <w:rPr>
          <w:u w:val="single"/>
        </w:rPr>
        <w:t>A l’international et dans l’écosystème des bailleurs</w:t>
      </w:r>
    </w:p>
    <w:p w14:paraId="4C559570" w14:textId="77777777" w:rsidR="008F52E7" w:rsidRDefault="008F52E7" w:rsidP="008F52E7"/>
    <w:p w14:paraId="72E3D9F4" w14:textId="5F9DED25" w:rsidR="000133FD" w:rsidRPr="00D32119" w:rsidRDefault="000133FD" w:rsidP="003B1022">
      <w:pPr>
        <w:pStyle w:val="Commentaire"/>
        <w:numPr>
          <w:ilvl w:val="0"/>
          <w:numId w:val="46"/>
        </w:numPr>
      </w:pPr>
      <w:r w:rsidRPr="00D32119">
        <w:rPr>
          <w:sz w:val="22"/>
          <w:szCs w:val="22"/>
        </w:rPr>
        <w:t>Quel positionnement AdaptAction a-t-il permis d’assurer sur la scène internationale, par rapport aux autres programmes consacrés à l’adaptation ?</w:t>
      </w:r>
      <w:r w:rsidR="003B1022">
        <w:rPr>
          <w:rStyle w:val="Appelnotedebasdep"/>
          <w:sz w:val="22"/>
          <w:szCs w:val="22"/>
        </w:rPr>
        <w:footnoteReference w:id="5"/>
      </w:r>
    </w:p>
    <w:p w14:paraId="2DE11CEF" w14:textId="77777777" w:rsidR="000133FD" w:rsidRDefault="000133FD" w:rsidP="00F15CA6"/>
    <w:p w14:paraId="61EE0D39" w14:textId="3C2EB510" w:rsidR="00FD2023" w:rsidRPr="00FD2023" w:rsidRDefault="00FD2023" w:rsidP="00FD2023"/>
    <w:p w14:paraId="047E403E" w14:textId="1B3F2707" w:rsidR="00FD2023" w:rsidRDefault="00FD2023" w:rsidP="00896CE7">
      <w:pPr>
        <w:pStyle w:val="Paragraphedeliste"/>
        <w:numPr>
          <w:ilvl w:val="1"/>
          <w:numId w:val="55"/>
        </w:numPr>
        <w:rPr>
          <w:b/>
          <w:bCs/>
        </w:rPr>
      </w:pPr>
      <w:r w:rsidRPr="00FD2023">
        <w:rPr>
          <w:b/>
          <w:bCs/>
        </w:rPr>
        <w:t>La gouvernance du programme</w:t>
      </w:r>
    </w:p>
    <w:p w14:paraId="31CC6F2D" w14:textId="77777777" w:rsidR="00896CE7" w:rsidRDefault="00896CE7" w:rsidP="007065EF">
      <w:pPr>
        <w:pStyle w:val="Paragraphedeliste"/>
        <w:ind w:left="1440"/>
        <w:rPr>
          <w:b/>
          <w:bCs/>
        </w:rPr>
      </w:pPr>
    </w:p>
    <w:p w14:paraId="7978361D" w14:textId="62123B12" w:rsidR="000133FD" w:rsidRDefault="000133FD" w:rsidP="00FD2023">
      <w:r w:rsidRPr="007065EF">
        <w:t>L’évaluation analysera la gouvernance et le pilotage du programme AdaptAction, à la fois dans leur dimension stratégique (vision, alignement, diplomatie) et opérationnelle (organisation, gestion, suivi). Elle devra notamment répondre aux questions suivantes :</w:t>
      </w:r>
    </w:p>
    <w:p w14:paraId="4257B048" w14:textId="77777777" w:rsidR="00EA083A" w:rsidRDefault="00EA083A" w:rsidP="00FD2023"/>
    <w:p w14:paraId="5BFB41D0" w14:textId="0EBBDE23" w:rsidR="000133FD" w:rsidRDefault="000133FD" w:rsidP="007065EF">
      <w:pPr>
        <w:pStyle w:val="Paragraphedeliste"/>
        <w:numPr>
          <w:ilvl w:val="0"/>
          <w:numId w:val="47"/>
        </w:numPr>
      </w:pPr>
      <w:r>
        <w:t xml:space="preserve">En quoi la gouvernance et le pilotage opérationnel du programme ont-ils permis de planifier </w:t>
      </w:r>
      <w:r w:rsidR="00D32119">
        <w:t xml:space="preserve">et piloter </w:t>
      </w:r>
      <w:r>
        <w:t>les interventions dans une vision stratégique pertinente, cohérente avec les priorités de l’AFD, du Groupe et de la diplomatie climat française ?</w:t>
      </w:r>
    </w:p>
    <w:p w14:paraId="5118B702" w14:textId="77777777" w:rsidR="000133FD" w:rsidRDefault="000133FD" w:rsidP="000133FD"/>
    <w:p w14:paraId="7EE70A48" w14:textId="0A27504F" w:rsidR="00C74EEB" w:rsidRDefault="000133FD" w:rsidP="00F15CA6">
      <w:pPr>
        <w:pStyle w:val="Paragraphedeliste"/>
        <w:numPr>
          <w:ilvl w:val="0"/>
          <w:numId w:val="47"/>
        </w:numPr>
      </w:pPr>
      <w:r>
        <w:t xml:space="preserve">Dans quelle mesure le programme a-t-il contribué au dialogue avec les </w:t>
      </w:r>
      <w:r w:rsidR="00AE700F">
        <w:t xml:space="preserve">pays </w:t>
      </w:r>
      <w:r>
        <w:t>partenaires</w:t>
      </w:r>
      <w:r w:rsidR="00C74EEB">
        <w:t> ?</w:t>
      </w:r>
    </w:p>
    <w:p w14:paraId="558EDAAD" w14:textId="7E6F53AC" w:rsidR="000133FD" w:rsidRDefault="000133FD" w:rsidP="00271A21">
      <w:r>
        <w:t xml:space="preserve"> </w:t>
      </w:r>
    </w:p>
    <w:p w14:paraId="7784ABE8" w14:textId="444C59E1" w:rsidR="00C74EEB" w:rsidRDefault="000133FD" w:rsidP="00C74EEB">
      <w:pPr>
        <w:pStyle w:val="Paragraphedeliste"/>
        <w:numPr>
          <w:ilvl w:val="0"/>
          <w:numId w:val="47"/>
        </w:numPr>
      </w:pPr>
      <w:r>
        <w:t xml:space="preserve">L’organisation et la gestion du programme sont-elles adaptées à ses objectifs stratégiques et à son rôle d’appui </w:t>
      </w:r>
      <w:r w:rsidR="00C74EEB">
        <w:t>à la mobilisation de la finance climat et au positionnement de la France dans les débats et agendas internationaux ?</w:t>
      </w:r>
    </w:p>
    <w:p w14:paraId="05EFB044" w14:textId="77777777" w:rsidR="000133FD" w:rsidRDefault="000133FD" w:rsidP="000133FD"/>
    <w:p w14:paraId="5749D1A1" w14:textId="6983D124" w:rsidR="000133FD" w:rsidRDefault="000133FD" w:rsidP="007065EF">
      <w:pPr>
        <w:pStyle w:val="Paragraphedeliste"/>
        <w:numPr>
          <w:ilvl w:val="0"/>
          <w:numId w:val="47"/>
        </w:numPr>
      </w:pPr>
      <w:r>
        <w:t>La répartition des responsabilités entre l’AFD et Expertise France est-elle pertinente et efficace au regard de la mise en œuvre du programme</w:t>
      </w:r>
      <w:r w:rsidR="00AE700F">
        <w:t xml:space="preserve"> (avec une analyse comparative entre les deux phases)</w:t>
      </w:r>
      <w:r>
        <w:t xml:space="preserve"> ?</w:t>
      </w:r>
    </w:p>
    <w:p w14:paraId="45FBFEC8" w14:textId="77777777" w:rsidR="000133FD" w:rsidRDefault="000133FD" w:rsidP="000133FD"/>
    <w:p w14:paraId="6F6A0AB5" w14:textId="3CBE9B86" w:rsidR="000133FD" w:rsidRDefault="00AE700F" w:rsidP="008F52E7">
      <w:pPr>
        <w:pStyle w:val="Paragraphedeliste"/>
        <w:numPr>
          <w:ilvl w:val="0"/>
          <w:numId w:val="47"/>
        </w:numPr>
      </w:pPr>
      <w:r w:rsidRPr="00AE700F">
        <w:t>Dans quelle mesure les choix et la répartition des appuis par pays, régions et thématiques reflètent-ils une orientation stratégique claire, cohérente avec les priorités du programme et les besoins des pays partenaires ? Quel a été l’apport des tutelles (MEAE, MTE, etc.) dans cette orientation stratégique et dans l’alignement diplomatique du programme</w:t>
      </w:r>
      <w:r>
        <w:t> ?</w:t>
      </w:r>
    </w:p>
    <w:p w14:paraId="5229A99B" w14:textId="77777777" w:rsidR="000133FD" w:rsidRDefault="000133FD" w:rsidP="000133FD"/>
    <w:p w14:paraId="235C6FDC" w14:textId="1A8AFE1B" w:rsidR="000133FD" w:rsidRDefault="000133FD" w:rsidP="007065EF">
      <w:pPr>
        <w:pStyle w:val="Paragraphedeliste"/>
        <w:numPr>
          <w:ilvl w:val="0"/>
          <w:numId w:val="47"/>
        </w:numPr>
      </w:pPr>
      <w:r>
        <w:t xml:space="preserve">Les dispositifs de suivi et de </w:t>
      </w:r>
      <w:proofErr w:type="spellStart"/>
      <w:r>
        <w:t>reporting</w:t>
      </w:r>
      <w:proofErr w:type="spellEnd"/>
      <w:r>
        <w:t xml:space="preserve"> alimentent-ils efficacement le pilotage stratégique du programme ?</w:t>
      </w:r>
      <w:r w:rsidR="008F52E7" w:rsidRPr="008F52E7">
        <w:t xml:space="preserve"> </w:t>
      </w:r>
      <w:r w:rsidR="008F52E7">
        <w:t>Dans quelle mesure les activités de capitalisation, de diffusion et de partage de connaissances ont-elles renforcé l’apprentissage, la visibilité et la portée du programme ?</w:t>
      </w:r>
    </w:p>
    <w:p w14:paraId="261207B1" w14:textId="4B5EB902" w:rsidR="000133FD" w:rsidRDefault="000133FD" w:rsidP="00B108C7"/>
    <w:p w14:paraId="1F7A9546" w14:textId="77777777" w:rsidR="000133FD" w:rsidRPr="007065EF" w:rsidRDefault="000133FD" w:rsidP="000133FD"/>
    <w:p w14:paraId="20349641" w14:textId="063FBE87" w:rsidR="000133FD" w:rsidRPr="00FD2023" w:rsidRDefault="000133FD" w:rsidP="00FD2023">
      <w:r w:rsidRPr="000133FD">
        <w:t xml:space="preserve">Il est attendu que cette partie de l’évaluation débouche sur </w:t>
      </w:r>
      <w:r w:rsidRPr="00271A21">
        <w:rPr>
          <w:b/>
          <w:bCs/>
        </w:rPr>
        <w:t>des recommandations concernant l’organisation future du programme,</w:t>
      </w:r>
      <w:r w:rsidRPr="000133FD">
        <w:t xml:space="preserve"> notamment la pertinence du dispositif de gouvernance, son articulation avec la feuille de route Planète, la temporalité des interventions et la complémentarité avec les autres instruments climat de l’AFD.</w:t>
      </w:r>
    </w:p>
    <w:p w14:paraId="73F915DD" w14:textId="5BBCB4FD" w:rsidR="00FD2023" w:rsidRPr="00FD2023" w:rsidRDefault="00FD2023" w:rsidP="00FD2023"/>
    <w:p w14:paraId="35C8B227" w14:textId="6AE5203E" w:rsidR="00FD2023" w:rsidRDefault="00AE700F" w:rsidP="00271A21">
      <w:pPr>
        <w:pStyle w:val="Titre2"/>
        <w:numPr>
          <w:ilvl w:val="1"/>
          <w:numId w:val="4"/>
        </w:numPr>
      </w:pPr>
      <w:bookmarkStart w:id="28" w:name="_Toc211411317"/>
      <w:r>
        <w:lastRenderedPageBreak/>
        <w:t xml:space="preserve">Phase 2 : </w:t>
      </w:r>
      <w:r w:rsidR="00FD2023" w:rsidRPr="00FD2023">
        <w:t>Le portefeuille de projets AdaptAction</w:t>
      </w:r>
      <w:bookmarkEnd w:id="28"/>
    </w:p>
    <w:p w14:paraId="0DD0569A" w14:textId="03385BB0" w:rsidR="003B0133" w:rsidRPr="00FD2023" w:rsidRDefault="003B0133" w:rsidP="003B0133">
      <w:r w:rsidRPr="003B0133">
        <w:t>Le consultant devra porter une analyse critique et structurée du portefeuille AdaptAction, combinant une approche quantitative et documentaire globale avec un approfondissement qualitatif ciblé.</w:t>
      </w:r>
      <w:r>
        <w:t xml:space="preserve"> </w:t>
      </w:r>
      <w:r w:rsidRPr="00FD2023">
        <w:t xml:space="preserve">Les deux niveaux d’analyse (portefeuille complet et échantillon) devront permettre d’émettre un jugement évaluatif sur la capacité d’AdaptAction à atteindre ses objectifs et à répondre aux priorités de ses </w:t>
      </w:r>
      <w:r w:rsidRPr="002C50D8">
        <w:t>pays partenaires</w:t>
      </w:r>
      <w:r>
        <w:t>.</w:t>
      </w:r>
    </w:p>
    <w:p w14:paraId="0AE19CB3" w14:textId="09185EFF" w:rsidR="00896CE7" w:rsidRPr="00271A21" w:rsidRDefault="00896CE7" w:rsidP="00271A21">
      <w:pPr>
        <w:rPr>
          <w:b/>
          <w:bCs/>
        </w:rPr>
      </w:pPr>
    </w:p>
    <w:p w14:paraId="343A60B9" w14:textId="77777777" w:rsidR="00A60A29" w:rsidRDefault="00A60A29" w:rsidP="00FD2023">
      <w:pPr>
        <w:rPr>
          <w:b/>
          <w:bCs/>
        </w:rPr>
      </w:pPr>
    </w:p>
    <w:p w14:paraId="4969C2CA" w14:textId="6376B165" w:rsidR="000133FD" w:rsidRPr="00271A21" w:rsidRDefault="003B0133" w:rsidP="00271A21">
      <w:pPr>
        <w:pStyle w:val="Paragraphedeliste"/>
        <w:numPr>
          <w:ilvl w:val="2"/>
          <w:numId w:val="55"/>
        </w:numPr>
        <w:rPr>
          <w:b/>
          <w:bCs/>
        </w:rPr>
      </w:pPr>
      <w:r>
        <w:rPr>
          <w:b/>
          <w:bCs/>
        </w:rPr>
        <w:t>R</w:t>
      </w:r>
      <w:r w:rsidRPr="003B0133">
        <w:rPr>
          <w:b/>
          <w:bCs/>
        </w:rPr>
        <w:t>evue globale du portefeuille</w:t>
      </w:r>
    </w:p>
    <w:p w14:paraId="45B0CBA2" w14:textId="77777777" w:rsidR="000133FD" w:rsidRPr="000133FD" w:rsidRDefault="000133FD" w:rsidP="000133FD">
      <w:pPr>
        <w:rPr>
          <w:b/>
          <w:bCs/>
        </w:rPr>
      </w:pPr>
    </w:p>
    <w:p w14:paraId="5EE85376" w14:textId="77777777" w:rsidR="003B0133" w:rsidRDefault="003B0133" w:rsidP="003B0133">
      <w:r>
        <w:t>Une photographie d’ensemble du portefeuille AdaptAction sera réalisée en amont des analyses approfondies.</w:t>
      </w:r>
    </w:p>
    <w:p w14:paraId="11D6BA80" w14:textId="77777777" w:rsidR="003B0133" w:rsidRDefault="003B0133" w:rsidP="003B0133">
      <w:r>
        <w:t>Cette revue aura pour objectif de :</w:t>
      </w:r>
    </w:p>
    <w:p w14:paraId="75BD71CD" w14:textId="6122FFD8" w:rsidR="003B0133" w:rsidRDefault="003B0133" w:rsidP="00107565">
      <w:pPr>
        <w:pStyle w:val="Paragraphedeliste"/>
        <w:numPr>
          <w:ilvl w:val="2"/>
          <w:numId w:val="17"/>
        </w:numPr>
      </w:pPr>
      <w:r>
        <w:t>Cartographier et caractériser le portefeuille complet : répartition par régions, par thématiques, par types d’appui (intégration politique, renforcement institutionnel, préparation de projets, etc.) ;</w:t>
      </w:r>
    </w:p>
    <w:p w14:paraId="7FC3B33D" w14:textId="6970BB4F" w:rsidR="003B0133" w:rsidRDefault="003B0133" w:rsidP="00107565">
      <w:pPr>
        <w:pStyle w:val="Paragraphedeliste"/>
        <w:numPr>
          <w:ilvl w:val="2"/>
          <w:numId w:val="17"/>
        </w:numPr>
      </w:pPr>
      <w:r>
        <w:t>Identifier les tendances clés (évolution dans le temps, poids relatif des approches, concentration géographique, diversité des partenaires) ;</w:t>
      </w:r>
    </w:p>
    <w:p w14:paraId="11C02F69" w14:textId="4A89CEAF" w:rsidR="003B0133" w:rsidRDefault="003B0133" w:rsidP="00107565">
      <w:pPr>
        <w:pStyle w:val="Paragraphedeliste"/>
        <w:numPr>
          <w:ilvl w:val="2"/>
          <w:numId w:val="17"/>
        </w:numPr>
      </w:pPr>
      <w:r>
        <w:t>Mettre en évidence les cohérences et les déséquilibres éventuels dans la répartition des appuis (zones sous-représentées, thématiques émergentes, etc.) ;</w:t>
      </w:r>
    </w:p>
    <w:p w14:paraId="13FA77DD" w14:textId="2BBCCE40" w:rsidR="003B0133" w:rsidRDefault="003B0133" w:rsidP="00107565">
      <w:pPr>
        <w:pStyle w:val="Paragraphedeliste"/>
        <w:numPr>
          <w:ilvl w:val="2"/>
          <w:numId w:val="17"/>
        </w:numPr>
      </w:pPr>
      <w:r>
        <w:t>Préparer le travail d’analyse qualitative en identifiant des cas représentatifs pour la suite (sélection de</w:t>
      </w:r>
      <w:r w:rsidR="00AE700F">
        <w:t>s échantillons</w:t>
      </w:r>
      <w:r>
        <w:t>).</w:t>
      </w:r>
    </w:p>
    <w:p w14:paraId="0AD51143" w14:textId="0ED702C7" w:rsidR="003B0133" w:rsidRDefault="003B0133" w:rsidP="003B0133">
      <w:r>
        <w:t xml:space="preserve">Cette photographie servira donc de base à la revue critique du portefeuille, permettant de situer les </w:t>
      </w:r>
      <w:r w:rsidR="00AE700F">
        <w:t>échantillons</w:t>
      </w:r>
      <w:r>
        <w:t xml:space="preserve"> </w:t>
      </w:r>
      <w:r w:rsidR="005F7B4E">
        <w:t xml:space="preserve">dans </w:t>
      </w:r>
      <w:r>
        <w:t>un cadre global et de tirer des enseignements transversaux sur la pertinence, la cohérence et la dynamique d’ensemble du programme AdaptAction.</w:t>
      </w:r>
    </w:p>
    <w:p w14:paraId="7EB6A3FF" w14:textId="77777777" w:rsidR="00F71AEE" w:rsidRPr="007065EF" w:rsidRDefault="00F71AEE" w:rsidP="007065EF">
      <w:pPr>
        <w:ind w:left="720"/>
      </w:pPr>
    </w:p>
    <w:p w14:paraId="636324F3" w14:textId="46C09E03" w:rsidR="00A60A29" w:rsidRDefault="000133FD" w:rsidP="007065EF">
      <w:pPr>
        <w:pStyle w:val="Paragraphedeliste"/>
        <w:numPr>
          <w:ilvl w:val="2"/>
          <w:numId w:val="55"/>
        </w:numPr>
        <w:rPr>
          <w:b/>
          <w:bCs/>
        </w:rPr>
      </w:pPr>
      <w:r w:rsidRPr="00F71AEE">
        <w:rPr>
          <w:b/>
          <w:bCs/>
        </w:rPr>
        <w:t xml:space="preserve">Un approfondissement </w:t>
      </w:r>
      <w:r w:rsidR="00AE700F">
        <w:rPr>
          <w:b/>
          <w:bCs/>
        </w:rPr>
        <w:t>via des échantillons géographiques (avec des croisement thématiques)</w:t>
      </w:r>
    </w:p>
    <w:p w14:paraId="75FE05A4" w14:textId="19D0B56E" w:rsidR="00A60A29" w:rsidRDefault="00A60A29" w:rsidP="000133FD"/>
    <w:p w14:paraId="1D115B09" w14:textId="1FA7DE4E" w:rsidR="00761951" w:rsidRPr="00761951" w:rsidRDefault="00761951" w:rsidP="00761951">
      <w:r w:rsidRPr="00761951">
        <w:t xml:space="preserve">Un </w:t>
      </w:r>
      <w:r w:rsidRPr="00761951">
        <w:rPr>
          <w:b/>
          <w:bCs/>
        </w:rPr>
        <w:t>échantillon ciblé de 4 à 5 pays</w:t>
      </w:r>
      <w:r w:rsidRPr="00761951">
        <w:t xml:space="preserve"> fera l’objet d’un </w:t>
      </w:r>
      <w:r w:rsidRPr="00761951">
        <w:rPr>
          <w:b/>
          <w:bCs/>
        </w:rPr>
        <w:t>travail approfondi avec missions de terrain</w:t>
      </w:r>
      <w:r w:rsidR="0074642A">
        <w:rPr>
          <w:b/>
          <w:bCs/>
        </w:rPr>
        <w:t xml:space="preserve"> sur au moins 3 pays</w:t>
      </w:r>
      <w:r w:rsidR="00BA358D">
        <w:rPr>
          <w:b/>
          <w:bCs/>
        </w:rPr>
        <w:t xml:space="preserve"> (</w:t>
      </w:r>
      <w:r w:rsidR="00BA358D" w:rsidRPr="00F15CA6">
        <w:t>le consultant sera libre de proposer un nombre de mission terrain plus ambitieux s’il le juge pertinent, en groupant par exemple certains pays, tout en restant dans l’enveloppe financière</w:t>
      </w:r>
      <w:r w:rsidR="00BA358D">
        <w:rPr>
          <w:b/>
          <w:bCs/>
        </w:rPr>
        <w:t>)</w:t>
      </w:r>
      <w:r w:rsidRPr="00761951">
        <w:t>, afin d’apporter un éclairage qualitatif et illustratif de l’évaluation conduite sur l’ensemble du champ AdaptAction.</w:t>
      </w:r>
      <w:r w:rsidRPr="00761951">
        <w:br/>
        <w:t xml:space="preserve">Les </w:t>
      </w:r>
      <w:r w:rsidRPr="00761951">
        <w:rPr>
          <w:b/>
          <w:bCs/>
        </w:rPr>
        <w:t>pays pressentis</w:t>
      </w:r>
      <w:r w:rsidRPr="00761951">
        <w:t xml:space="preserve"> – à confirmer par l’AFD – sont : </w:t>
      </w:r>
      <w:r w:rsidRPr="00761951">
        <w:rPr>
          <w:b/>
          <w:bCs/>
        </w:rPr>
        <w:t>Sénégal, Guinée, République du Congo, Maurice et Madagascar</w:t>
      </w:r>
      <w:r w:rsidRPr="00761951">
        <w:t>. Ces cinq pays constitueront l’</w:t>
      </w:r>
      <w:r w:rsidRPr="00761951">
        <w:rPr>
          <w:b/>
          <w:bCs/>
        </w:rPr>
        <w:t>approche géographique</w:t>
      </w:r>
      <w:r w:rsidRPr="00761951">
        <w:t xml:space="preserve"> de l’échantillon, reflétant la diversité des zones d’intervention d’AdaptAction (Grand Sahel, Golfe de Guinée, Afrique centrale, Océan Indien).</w:t>
      </w:r>
    </w:p>
    <w:p w14:paraId="3DDE1946" w14:textId="667AA5D0" w:rsidR="00761951" w:rsidRPr="00761951" w:rsidRDefault="00761951" w:rsidP="00761951">
      <w:r w:rsidRPr="00761951">
        <w:t xml:space="preserve">L’échantillon visera également un </w:t>
      </w:r>
      <w:r w:rsidRPr="00761951">
        <w:rPr>
          <w:b/>
          <w:bCs/>
        </w:rPr>
        <w:t>croisement thématique et méthodologique</w:t>
      </w:r>
      <w:r w:rsidRPr="00761951">
        <w:t xml:space="preserve">, à travers la sélection de </w:t>
      </w:r>
      <w:r w:rsidRPr="00761951">
        <w:rPr>
          <w:b/>
          <w:bCs/>
        </w:rPr>
        <w:t>10 à 15 appuis</w:t>
      </w:r>
      <w:r w:rsidRPr="00761951">
        <w:t xml:space="preserve"> permettant d’analyser la diversité des approches soutenues : intégration de l’adaptation dans les politiques publiques, renforcement institutionnel, accompagnement méthodologique, catalyse de financements climat, solutions fondées sur la nature, approches sectorielles, etc</w:t>
      </w:r>
      <w:r w:rsidR="004C2023">
        <w:t xml:space="preserve">… Le consultant devra </w:t>
      </w:r>
      <w:proofErr w:type="gramStart"/>
      <w:r w:rsidR="004C2023">
        <w:t>proposé</w:t>
      </w:r>
      <w:proofErr w:type="gramEnd"/>
      <w:r w:rsidR="004C2023">
        <w:t xml:space="preserve"> un choix argumenté d’appui à étudier dans ces pays parmi la liste en annexe.</w:t>
      </w:r>
    </w:p>
    <w:p w14:paraId="0C7C6454" w14:textId="77777777" w:rsidR="00761951" w:rsidRDefault="00761951" w:rsidP="00761951">
      <w:r w:rsidRPr="00761951">
        <w:t>Cet approfondissement devra permettre d’</w:t>
      </w:r>
      <w:r w:rsidRPr="00761951">
        <w:rPr>
          <w:b/>
          <w:bCs/>
        </w:rPr>
        <w:t>illustrer concrètement les enseignements</w:t>
      </w:r>
      <w:r w:rsidRPr="00761951">
        <w:t xml:space="preserve"> tirés de l’évaluation sur champ large, en donnant à voir des dynamiques et résultats représentatifs à différentes échelles.</w:t>
      </w:r>
    </w:p>
    <w:p w14:paraId="3FB01D8C" w14:textId="7004C060" w:rsidR="008165E0" w:rsidRPr="00761951" w:rsidRDefault="008165E0" w:rsidP="00761951"/>
    <w:p w14:paraId="1B21B273" w14:textId="77777777" w:rsidR="00761951" w:rsidRPr="00761951" w:rsidRDefault="00761951" w:rsidP="00761951">
      <w:r w:rsidRPr="00761951">
        <w:t xml:space="preserve">Compte tenu de la diversité des contextes et des contraintes logistiques (zones difficiles d’accès, coûts et disponibilité des données), une enquête bénéficiaire systématique pour </w:t>
      </w:r>
      <w:r w:rsidRPr="00761951">
        <w:lastRenderedPageBreak/>
        <w:t xml:space="preserve">chaque appui ne sera pas envisageable. Le soumissionnaire devra donc proposer des </w:t>
      </w:r>
      <w:r w:rsidRPr="00761951">
        <w:rPr>
          <w:b/>
          <w:bCs/>
        </w:rPr>
        <w:t>approches alternatives</w:t>
      </w:r>
      <w:r w:rsidRPr="00761951">
        <w:t xml:space="preserve"> : mutualisation des enquêtes de terrain lorsque possible, focalisation sur un nombre restreint de cas d’étude, ou recours à des méthodes qualitatives complémentaires, afin de maximiser la valeur ajoutée analytique et stratégique de l’évaluation.</w:t>
      </w:r>
    </w:p>
    <w:p w14:paraId="3242A747" w14:textId="728989BC" w:rsidR="00A60A29" w:rsidRPr="00A60A29" w:rsidRDefault="00A60A29" w:rsidP="00A60A29"/>
    <w:p w14:paraId="6975A2EE" w14:textId="77777777" w:rsidR="00A60A29" w:rsidRDefault="00A60A29" w:rsidP="000133FD"/>
    <w:p w14:paraId="6171ABFA" w14:textId="69A83B76" w:rsidR="000133FD" w:rsidRPr="00026A7B" w:rsidRDefault="000133FD" w:rsidP="000133FD">
      <w:r w:rsidRPr="00026A7B">
        <w:t>L’analyse portera notamment sur :</w:t>
      </w:r>
    </w:p>
    <w:p w14:paraId="50708E09" w14:textId="77777777" w:rsidR="000133FD" w:rsidRDefault="000133FD" w:rsidP="00FD2023"/>
    <w:p w14:paraId="223C6370" w14:textId="77777777" w:rsidR="00A60A29" w:rsidRPr="00BC04A3" w:rsidRDefault="00A60A29" w:rsidP="00A60A29">
      <w:pPr>
        <w:rPr>
          <w:b/>
          <w:bCs/>
        </w:rPr>
      </w:pPr>
      <w:r w:rsidRPr="00BC04A3">
        <w:rPr>
          <w:b/>
          <w:bCs/>
        </w:rPr>
        <w:t>A. Pertinence et qualité de la conception</w:t>
      </w:r>
    </w:p>
    <w:p w14:paraId="44754A3D" w14:textId="63FA77EA" w:rsidR="00761951" w:rsidRDefault="00761951" w:rsidP="00567EF9">
      <w:pPr>
        <w:pStyle w:val="Paragraphedeliste"/>
        <w:numPr>
          <w:ilvl w:val="0"/>
          <w:numId w:val="47"/>
        </w:numPr>
      </w:pPr>
      <w:r>
        <w:t>Dans quelle mesure les appuis d’AdaptAction répondent-ils de manière pertinente aux vulnérabilités climatiques, institutionnelles et socio-économiques identifiées dans les pays partenaires ?</w:t>
      </w:r>
    </w:p>
    <w:p w14:paraId="2A0817C9" w14:textId="0C572EF1" w:rsidR="00761951" w:rsidRDefault="00BD2A3B" w:rsidP="00026A7B">
      <w:pPr>
        <w:pStyle w:val="Paragraphedeliste"/>
        <w:numPr>
          <w:ilvl w:val="0"/>
          <w:numId w:val="47"/>
        </w:numPr>
      </w:pPr>
      <w:r>
        <w:t>Dans quelle mesure l</w:t>
      </w:r>
      <w:r w:rsidR="00761951">
        <w:t>’appui d’AdaptAction contribue-t-il à renforcer une approche « Ne pas nuire » et à favoriser l’inclusivité (égalité de genre, participation locale, équité territoriale) ?</w:t>
      </w:r>
    </w:p>
    <w:p w14:paraId="5FC9E60D" w14:textId="77777777" w:rsidR="00761951" w:rsidRPr="00BC04A3" w:rsidRDefault="00761951" w:rsidP="00026A7B">
      <w:pPr>
        <w:pStyle w:val="Paragraphedeliste"/>
      </w:pPr>
    </w:p>
    <w:p w14:paraId="32E18B55" w14:textId="77777777" w:rsidR="00A60A29" w:rsidRPr="00BC04A3" w:rsidRDefault="00A60A29" w:rsidP="00761951"/>
    <w:p w14:paraId="11AB1BCA" w14:textId="77777777" w:rsidR="00A60A29" w:rsidRPr="00BC04A3" w:rsidRDefault="00A60A29" w:rsidP="00A60A29">
      <w:pPr>
        <w:rPr>
          <w:b/>
          <w:bCs/>
        </w:rPr>
      </w:pPr>
      <w:r w:rsidRPr="00BC04A3">
        <w:rPr>
          <w:b/>
          <w:bCs/>
        </w:rPr>
        <w:t>B. Cohérence interne et externe</w:t>
      </w:r>
    </w:p>
    <w:p w14:paraId="70E905C7" w14:textId="4ECFE050" w:rsidR="00761951" w:rsidRDefault="00761951" w:rsidP="00026A7B">
      <w:pPr>
        <w:pStyle w:val="Paragraphedeliste"/>
        <w:numPr>
          <w:ilvl w:val="0"/>
          <w:numId w:val="47"/>
        </w:numPr>
      </w:pPr>
      <w:r>
        <w:t>Comment les interventions d’AdaptAction s’articulent-elles avec les politiques climatiques nationales et les autres initiatives d’adaptation soutenues par les partenaires (GCF, PNUD, Banque mondiale, etc.) ?</w:t>
      </w:r>
    </w:p>
    <w:p w14:paraId="6DE06C15" w14:textId="36ED3029" w:rsidR="00761951" w:rsidRPr="00BC04A3" w:rsidRDefault="00BD2A3B" w:rsidP="00026A7B">
      <w:pPr>
        <w:pStyle w:val="Paragraphedeliste"/>
        <w:numPr>
          <w:ilvl w:val="0"/>
          <w:numId w:val="47"/>
        </w:numPr>
      </w:pPr>
      <w:r>
        <w:t>Dans quelle mesure l</w:t>
      </w:r>
      <w:r w:rsidR="00761951">
        <w:t>e dispositif a-t-il su favoriser la coordination et la complémentarité avec les autres interventions de l’AFD (</w:t>
      </w:r>
      <w:proofErr w:type="spellStart"/>
      <w:r w:rsidR="00761951">
        <w:t>Minka</w:t>
      </w:r>
      <w:proofErr w:type="spellEnd"/>
      <w:r w:rsidR="00761951">
        <w:t>, agriculture, biodiversité, infrastructures, etc.) ?</w:t>
      </w:r>
    </w:p>
    <w:p w14:paraId="39E42302" w14:textId="77777777" w:rsidR="00A60A29" w:rsidRPr="00BC04A3" w:rsidRDefault="00A60A29" w:rsidP="00A60A29"/>
    <w:p w14:paraId="001FE896" w14:textId="77777777" w:rsidR="00A60A29" w:rsidRPr="00BC04A3" w:rsidRDefault="00A60A29" w:rsidP="00A60A29">
      <w:pPr>
        <w:rPr>
          <w:b/>
          <w:bCs/>
        </w:rPr>
      </w:pPr>
      <w:r w:rsidRPr="00BC04A3">
        <w:rPr>
          <w:b/>
          <w:bCs/>
        </w:rPr>
        <w:t>C. Efficacité et impact</w:t>
      </w:r>
    </w:p>
    <w:p w14:paraId="5CBF835E" w14:textId="77777777" w:rsidR="00761951" w:rsidRDefault="00761951" w:rsidP="0037041B">
      <w:pPr>
        <w:pStyle w:val="Paragraphedeliste"/>
        <w:numPr>
          <w:ilvl w:val="0"/>
          <w:numId w:val="47"/>
        </w:numPr>
      </w:pPr>
      <w:r>
        <w:t>Dans quelle mesure AdaptAction a-t-il permis d’améliorer les capacités nationales à intégrer l’adaptation dans les politiques publiques et les projets sectoriels ?</w:t>
      </w:r>
    </w:p>
    <w:p w14:paraId="3A1F9779" w14:textId="0638D4A5" w:rsidR="00761951" w:rsidRDefault="00761951" w:rsidP="0037041B">
      <w:pPr>
        <w:pStyle w:val="Paragraphedeliste"/>
        <w:numPr>
          <w:ilvl w:val="0"/>
          <w:numId w:val="47"/>
        </w:numPr>
      </w:pPr>
      <w:r>
        <w:t>Quels résultats ou changements observables (institutionnels, techniques, politiques) témoignent de l’efficacité des appuis, y compris sur les dimensions sociales et de réduction de vulnérabilité ?</w:t>
      </w:r>
    </w:p>
    <w:p w14:paraId="4960FBCA" w14:textId="77777777" w:rsidR="00A60A29" w:rsidRPr="00BC04A3" w:rsidRDefault="00A60A29" w:rsidP="00A60A29"/>
    <w:p w14:paraId="28A84216" w14:textId="5732ABB8" w:rsidR="00A60A29" w:rsidRPr="00BC04A3" w:rsidRDefault="00A60A29" w:rsidP="00A60A29">
      <w:pPr>
        <w:rPr>
          <w:b/>
          <w:bCs/>
        </w:rPr>
      </w:pPr>
      <w:r w:rsidRPr="00BC04A3">
        <w:rPr>
          <w:b/>
          <w:bCs/>
        </w:rPr>
        <w:t>D. Efficience</w:t>
      </w:r>
      <w:r w:rsidR="00C221B5">
        <w:rPr>
          <w:b/>
          <w:bCs/>
        </w:rPr>
        <w:t xml:space="preserve"> </w:t>
      </w:r>
    </w:p>
    <w:p w14:paraId="20733502" w14:textId="77777777" w:rsidR="00761951" w:rsidRDefault="00761951" w:rsidP="0037041B">
      <w:pPr>
        <w:pStyle w:val="Paragraphedeliste"/>
        <w:numPr>
          <w:ilvl w:val="0"/>
          <w:numId w:val="47"/>
        </w:numPr>
      </w:pPr>
      <w:r>
        <w:t>Les ressources mobilisées (financières, humaines, techniques) ont-elles été utilisées de manière optimale pour produire les résultats attendus ?</w:t>
      </w:r>
    </w:p>
    <w:p w14:paraId="7EC55AE6" w14:textId="7DABCC8A" w:rsidR="00761951" w:rsidRDefault="00761951" w:rsidP="0037041B">
      <w:pPr>
        <w:pStyle w:val="Paragraphedeliste"/>
        <w:numPr>
          <w:ilvl w:val="0"/>
          <w:numId w:val="47"/>
        </w:numPr>
      </w:pPr>
      <w:r>
        <w:t>Quels facteurs ont influé positivement ou négativement sur l’efficience du dispositif (délais, coordination, contexte institutionnel, disponibilité des expertises) ?</w:t>
      </w:r>
    </w:p>
    <w:p w14:paraId="130CD075" w14:textId="77777777" w:rsidR="00A60A29" w:rsidRPr="00BC04A3" w:rsidRDefault="00A60A29" w:rsidP="00A60A29"/>
    <w:p w14:paraId="6DA5E4EE" w14:textId="77777777" w:rsidR="00A60A29" w:rsidRPr="00BC04A3" w:rsidRDefault="00A60A29" w:rsidP="00A60A29">
      <w:pPr>
        <w:rPr>
          <w:b/>
          <w:bCs/>
        </w:rPr>
      </w:pPr>
      <w:r w:rsidRPr="00BC04A3">
        <w:rPr>
          <w:b/>
          <w:bCs/>
        </w:rPr>
        <w:t>E. Durabilité</w:t>
      </w:r>
    </w:p>
    <w:p w14:paraId="029B058D" w14:textId="1C39DA3A" w:rsidR="00761951" w:rsidRPr="00761951" w:rsidRDefault="00761951" w:rsidP="0037041B">
      <w:pPr>
        <w:pStyle w:val="Paragraphedeliste"/>
        <w:numPr>
          <w:ilvl w:val="0"/>
          <w:numId w:val="47"/>
        </w:numPr>
      </w:pPr>
      <w:r w:rsidRPr="00761951">
        <w:t>Dans quelle mesure les acquis d’AdaptAction (outils, compétences, processus institutionnels) sont-ils pérennes et reproductibles ?</w:t>
      </w:r>
      <w:r w:rsidR="00BD2A3B">
        <w:t xml:space="preserve"> A minima : dans quelle mesure AdaptAction a-t-il su poser des jalons et des conditions nécessaires pour cette durabilité ?</w:t>
      </w:r>
    </w:p>
    <w:p w14:paraId="1030B549" w14:textId="301C67D3" w:rsidR="00761951" w:rsidRPr="00761951" w:rsidRDefault="002C14FA" w:rsidP="0037041B">
      <w:pPr>
        <w:pStyle w:val="Paragraphedeliste"/>
        <w:numPr>
          <w:ilvl w:val="0"/>
          <w:numId w:val="47"/>
        </w:numPr>
      </w:pPr>
      <w:r>
        <w:t>Dans quelle mesure l</w:t>
      </w:r>
      <w:r w:rsidR="00761951" w:rsidRPr="00761951">
        <w:t>e dispositif favorise-t-il une capitalisation et un apprentissage stratégique utiles à la programmation future de l’AFD et des partenaires sur l’adaptation au changement climatique ?</w:t>
      </w:r>
    </w:p>
    <w:p w14:paraId="4BED77CB" w14:textId="77777777" w:rsidR="00A60A29" w:rsidRDefault="00A60A29" w:rsidP="00FD2023"/>
    <w:p w14:paraId="66AFA611" w14:textId="77777777" w:rsidR="008865AC" w:rsidRPr="00306637" w:rsidRDefault="008865AC" w:rsidP="00306637"/>
    <w:p w14:paraId="107063D0" w14:textId="77777777" w:rsidR="00306637" w:rsidRPr="00306637" w:rsidRDefault="00306637" w:rsidP="00306637">
      <w:r w:rsidRPr="00306637">
        <w:rPr>
          <w:b/>
          <w:bCs/>
        </w:rPr>
        <w:t>Note méthodologique</w:t>
      </w:r>
      <w:r w:rsidRPr="00306637">
        <w:t xml:space="preserve"> : Compte tenu de la diversité des contextes et des contraintes (zones difficiles d’accès, coûts d’enquêtes auprès des bénéficiaires, disponibilité des données), une </w:t>
      </w:r>
      <w:r w:rsidRPr="00306637">
        <w:lastRenderedPageBreak/>
        <w:t>enquête bénéficiaire pour chacun des projets inclus dans les grappes ne sera pas envisageable. Le soumissionnaire devra donc proposer des alternatives, telles que la mutualisation des enquêtes de terrain si la sélection des projets le permet, ou la focalisation sur un nombre limité de cas où cette méthode est particulièrement pertinente.</w:t>
      </w:r>
    </w:p>
    <w:p w14:paraId="6A7A009D" w14:textId="77777777" w:rsidR="00BC04A3" w:rsidRPr="002C50D8" w:rsidRDefault="00BC04A3" w:rsidP="00306637"/>
    <w:p w14:paraId="3EFEB705" w14:textId="77777777" w:rsidR="00BD4D74" w:rsidRDefault="00BD4D74">
      <w:pPr>
        <w:pBdr>
          <w:top w:val="nil"/>
          <w:left w:val="nil"/>
          <w:bottom w:val="nil"/>
          <w:right w:val="nil"/>
          <w:between w:val="nil"/>
        </w:pBdr>
        <w:ind w:left="720"/>
        <w:rPr>
          <w:color w:val="000000"/>
        </w:rPr>
      </w:pPr>
      <w:bookmarkStart w:id="29" w:name="_bnm2qzttafxd" w:colFirst="0" w:colLast="0"/>
      <w:bookmarkStart w:id="30" w:name="_se9bmgwuci3" w:colFirst="0" w:colLast="0"/>
      <w:bookmarkEnd w:id="29"/>
      <w:bookmarkEnd w:id="30"/>
    </w:p>
    <w:p w14:paraId="7FE542B3" w14:textId="77777777" w:rsidR="00BD4D74" w:rsidRPr="002C50D8" w:rsidRDefault="00BD4D74">
      <w:pPr>
        <w:pBdr>
          <w:top w:val="nil"/>
          <w:left w:val="nil"/>
          <w:bottom w:val="nil"/>
          <w:right w:val="nil"/>
          <w:between w:val="nil"/>
        </w:pBdr>
        <w:ind w:left="720"/>
        <w:rPr>
          <w:color w:val="000000"/>
        </w:rPr>
      </w:pPr>
    </w:p>
    <w:p w14:paraId="2A5142F6" w14:textId="024B5CD4" w:rsidR="00BD4D74" w:rsidRPr="00464889" w:rsidRDefault="00BD4D74" w:rsidP="00BA25AF">
      <w:pPr>
        <w:pStyle w:val="Titre1"/>
        <w:numPr>
          <w:ilvl w:val="0"/>
          <w:numId w:val="1"/>
        </w:numPr>
        <w:rPr>
          <w:rFonts w:ascii="Roboto" w:hAnsi="Roboto"/>
          <w:b/>
        </w:rPr>
      </w:pPr>
      <w:bookmarkStart w:id="31" w:name="_sjltzfgx5pw5" w:colFirst="0" w:colLast="0"/>
      <w:bookmarkStart w:id="32" w:name="_Toc211411318"/>
      <w:bookmarkEnd w:id="31"/>
      <w:r>
        <w:rPr>
          <w:rFonts w:ascii="Roboto" w:hAnsi="Roboto"/>
          <w:b/>
        </w:rPr>
        <w:t>Méthodologie</w:t>
      </w:r>
      <w:bookmarkEnd w:id="32"/>
    </w:p>
    <w:p w14:paraId="4FC7331A" w14:textId="77777777" w:rsidR="00BD4D74" w:rsidRDefault="00BD4D74" w:rsidP="00BD4D74"/>
    <w:p w14:paraId="7BBFB5F9" w14:textId="77777777" w:rsidR="00BD4D74" w:rsidRPr="00BD4D74" w:rsidRDefault="00BD4D74" w:rsidP="00BA25AF">
      <w:pPr>
        <w:pStyle w:val="Paragraphedeliste"/>
        <w:numPr>
          <w:ilvl w:val="0"/>
          <w:numId w:val="42"/>
        </w:numPr>
        <w:pBdr>
          <w:bottom w:val="single" w:sz="4" w:space="0" w:color="000000"/>
        </w:pBdr>
        <w:contextualSpacing w:val="0"/>
        <w:outlineLvl w:val="1"/>
        <w:rPr>
          <w:b/>
          <w:bCs/>
          <w:vanish/>
          <w:color w:val="000000"/>
          <w:sz w:val="24"/>
          <w:szCs w:val="24"/>
        </w:rPr>
      </w:pPr>
      <w:bookmarkStart w:id="33" w:name="_Toc207360348"/>
      <w:bookmarkStart w:id="34" w:name="_Toc210147573"/>
      <w:bookmarkStart w:id="35" w:name="_Toc211352561"/>
      <w:bookmarkStart w:id="36" w:name="_Toc211352613"/>
      <w:bookmarkStart w:id="37" w:name="_Toc211411319"/>
      <w:bookmarkEnd w:id="33"/>
      <w:bookmarkEnd w:id="34"/>
      <w:bookmarkEnd w:id="35"/>
      <w:bookmarkEnd w:id="36"/>
      <w:bookmarkEnd w:id="37"/>
    </w:p>
    <w:p w14:paraId="2F318C36" w14:textId="77777777" w:rsidR="00BD4D74" w:rsidRPr="00BD4D74" w:rsidRDefault="00BD4D74" w:rsidP="00BA25AF">
      <w:pPr>
        <w:pStyle w:val="Paragraphedeliste"/>
        <w:numPr>
          <w:ilvl w:val="0"/>
          <w:numId w:val="42"/>
        </w:numPr>
        <w:pBdr>
          <w:bottom w:val="single" w:sz="4" w:space="0" w:color="000000"/>
        </w:pBdr>
        <w:contextualSpacing w:val="0"/>
        <w:outlineLvl w:val="1"/>
        <w:rPr>
          <w:b/>
          <w:bCs/>
          <w:vanish/>
          <w:color w:val="000000"/>
          <w:sz w:val="24"/>
          <w:szCs w:val="24"/>
        </w:rPr>
      </w:pPr>
      <w:bookmarkStart w:id="38" w:name="_Toc207360349"/>
      <w:bookmarkStart w:id="39" w:name="_Toc210147574"/>
      <w:bookmarkStart w:id="40" w:name="_Toc211352562"/>
      <w:bookmarkStart w:id="41" w:name="_Toc211352614"/>
      <w:bookmarkStart w:id="42" w:name="_Toc211411320"/>
      <w:bookmarkEnd w:id="38"/>
      <w:bookmarkEnd w:id="39"/>
      <w:bookmarkEnd w:id="40"/>
      <w:bookmarkEnd w:id="41"/>
      <w:bookmarkEnd w:id="42"/>
    </w:p>
    <w:p w14:paraId="3E96D716" w14:textId="64F30F50" w:rsidR="00BD4D74" w:rsidRPr="00BD4D74" w:rsidRDefault="00F96ABC" w:rsidP="00BA25AF">
      <w:pPr>
        <w:pStyle w:val="Titre2"/>
        <w:numPr>
          <w:ilvl w:val="1"/>
          <w:numId w:val="42"/>
        </w:numPr>
        <w:rPr>
          <w:bCs/>
        </w:rPr>
      </w:pPr>
      <w:bookmarkStart w:id="43" w:name="_Toc211411321"/>
      <w:r>
        <w:rPr>
          <w:bCs/>
        </w:rPr>
        <w:t>Phase de</w:t>
      </w:r>
      <w:r w:rsidR="00BD4D74" w:rsidRPr="00BD4D74">
        <w:rPr>
          <w:bCs/>
        </w:rPr>
        <w:t xml:space="preserve"> Cadrage</w:t>
      </w:r>
      <w:bookmarkEnd w:id="43"/>
    </w:p>
    <w:p w14:paraId="42589235" w14:textId="6E7E899A" w:rsidR="00464889" w:rsidRDefault="00BD4D74" w:rsidP="00BD4D74">
      <w:r w:rsidRPr="00BD4D74">
        <w:t>Cette phase visera à préciser et structurer la démarche analytique</w:t>
      </w:r>
      <w:r w:rsidR="00464889">
        <w:t xml:space="preserve"> de l’évaluation. Il</w:t>
      </w:r>
      <w:r w:rsidR="00094A00">
        <w:t xml:space="preserve"> est</w:t>
      </w:r>
      <w:r w:rsidR="00464889">
        <w:t xml:space="preserve"> attendu du Consultant qu’il explicite :</w:t>
      </w:r>
    </w:p>
    <w:p w14:paraId="40477653" w14:textId="77777777" w:rsidR="00BD4D74" w:rsidRPr="00BD4D74" w:rsidRDefault="00BD4D74" w:rsidP="00BA25AF">
      <w:pPr>
        <w:numPr>
          <w:ilvl w:val="0"/>
          <w:numId w:val="38"/>
        </w:numPr>
      </w:pPr>
      <w:proofErr w:type="gramStart"/>
      <w:r w:rsidRPr="00BD4D74">
        <w:t>la</w:t>
      </w:r>
      <w:proofErr w:type="gramEnd"/>
      <w:r w:rsidRPr="00BD4D74">
        <w:t xml:space="preserve"> compréhension de la mission et des enjeux de l’évaluation ;</w:t>
      </w:r>
    </w:p>
    <w:p w14:paraId="1093376E" w14:textId="77777777" w:rsidR="00BD4D74" w:rsidRPr="00BD4D74" w:rsidRDefault="00BD4D74" w:rsidP="00BA25AF">
      <w:pPr>
        <w:numPr>
          <w:ilvl w:val="0"/>
          <w:numId w:val="38"/>
        </w:numPr>
      </w:pPr>
      <w:proofErr w:type="gramStart"/>
      <w:r w:rsidRPr="00BD4D74">
        <w:t>la</w:t>
      </w:r>
      <w:proofErr w:type="gramEnd"/>
      <w:r w:rsidRPr="00BD4D74">
        <w:t xml:space="preserve"> méthodologie proposée (formulation des questions évaluatives, outils de collecte et d’analyse, indicateurs, sources d’information mobilisées) ;</w:t>
      </w:r>
    </w:p>
    <w:p w14:paraId="3285D16E" w14:textId="2F893559" w:rsidR="00094A00" w:rsidRPr="00BD4D74" w:rsidRDefault="00094A00" w:rsidP="00BA25AF">
      <w:pPr>
        <w:numPr>
          <w:ilvl w:val="0"/>
          <w:numId w:val="38"/>
        </w:numPr>
      </w:pPr>
      <w:proofErr w:type="gramStart"/>
      <w:r>
        <w:t>la</w:t>
      </w:r>
      <w:proofErr w:type="gramEnd"/>
      <w:r>
        <w:t xml:space="preserve"> méthodologie </w:t>
      </w:r>
      <w:r w:rsidR="00F96ABC">
        <w:t>pour l</w:t>
      </w:r>
      <w:r w:rsidR="00080DCD">
        <w:t>a</w:t>
      </w:r>
      <w:r w:rsidR="00E72FD7">
        <w:t xml:space="preserve"> sélection des échantillons</w:t>
      </w:r>
      <w:r w:rsidR="00F96ABC">
        <w:t xml:space="preserve"> ; organisation des missions et positionnement des expertises en fonction des thèmes et </w:t>
      </w:r>
    </w:p>
    <w:p w14:paraId="0710AEC9" w14:textId="4640AE10" w:rsidR="00BD4D74" w:rsidRPr="00BD4D74" w:rsidRDefault="00E72FD7" w:rsidP="00BA25AF">
      <w:pPr>
        <w:numPr>
          <w:ilvl w:val="0"/>
          <w:numId w:val="38"/>
        </w:numPr>
      </w:pPr>
      <w:proofErr w:type="gramStart"/>
      <w:r>
        <w:t>planification</w:t>
      </w:r>
      <w:proofErr w:type="gramEnd"/>
      <w:r>
        <w:t xml:space="preserve"> des missions</w:t>
      </w:r>
      <w:r w:rsidR="00D973A8">
        <w:t xml:space="preserve">. Le cas échéant, l’échantillon pourra être revu à la marge après la revue de portefeuille. </w:t>
      </w:r>
    </w:p>
    <w:p w14:paraId="260DFD68" w14:textId="77777777" w:rsidR="00BD4D74" w:rsidRPr="00BD4D74" w:rsidRDefault="00BD4D74" w:rsidP="00BA25AF">
      <w:pPr>
        <w:numPr>
          <w:ilvl w:val="0"/>
          <w:numId w:val="38"/>
        </w:numPr>
      </w:pPr>
      <w:proofErr w:type="gramStart"/>
      <w:r w:rsidRPr="00BD4D74">
        <w:t>les</w:t>
      </w:r>
      <w:proofErr w:type="gramEnd"/>
      <w:r w:rsidRPr="00BD4D74">
        <w:t xml:space="preserve"> hypothèses, limites et défis anticipés ;</w:t>
      </w:r>
    </w:p>
    <w:p w14:paraId="01BF54F4" w14:textId="68AE13C7" w:rsidR="00BD4D74" w:rsidRDefault="00BD4D74" w:rsidP="00BA25AF">
      <w:pPr>
        <w:numPr>
          <w:ilvl w:val="0"/>
          <w:numId w:val="38"/>
        </w:numPr>
      </w:pPr>
      <w:proofErr w:type="gramStart"/>
      <w:r w:rsidRPr="00BD4D74">
        <w:t>le</w:t>
      </w:r>
      <w:proofErr w:type="gramEnd"/>
      <w:r w:rsidRPr="00BD4D74">
        <w:t xml:space="preserve"> calendrier </w:t>
      </w:r>
      <w:r w:rsidR="00E72FD7">
        <w:t>prévisionnel détaillé</w:t>
      </w:r>
    </w:p>
    <w:p w14:paraId="71E0E235" w14:textId="77777777" w:rsidR="00464889" w:rsidRDefault="00464889" w:rsidP="00464889"/>
    <w:p w14:paraId="183F6378" w14:textId="48F48626" w:rsidR="00464889" w:rsidRPr="00464889" w:rsidRDefault="00464889" w:rsidP="00464889">
      <w:pPr>
        <w:rPr>
          <w:i/>
          <w:iCs/>
        </w:rPr>
      </w:pPr>
      <w:r w:rsidRPr="00464889">
        <w:rPr>
          <w:i/>
          <w:iCs/>
        </w:rPr>
        <w:t>Livrable attendu :</w:t>
      </w:r>
      <w:r w:rsidR="006E7871">
        <w:rPr>
          <w:i/>
          <w:iCs/>
        </w:rPr>
        <w:t xml:space="preserve"> </w:t>
      </w:r>
    </w:p>
    <w:p w14:paraId="522504A8" w14:textId="7F3C411D" w:rsidR="00464889" w:rsidRPr="00BD4D74" w:rsidRDefault="00464889" w:rsidP="00BA25AF">
      <w:pPr>
        <w:pStyle w:val="Paragraphedeliste"/>
        <w:numPr>
          <w:ilvl w:val="0"/>
          <w:numId w:val="43"/>
        </w:numPr>
      </w:pPr>
      <w:r w:rsidRPr="00EA083A">
        <w:rPr>
          <w:b/>
          <w:bCs/>
        </w:rPr>
        <w:t>Livrable 1 : Note de cadrage</w:t>
      </w:r>
      <w:r w:rsidR="00094A00" w:rsidRPr="00EA083A">
        <w:rPr>
          <w:b/>
          <w:bCs/>
        </w:rPr>
        <w:t xml:space="preserve">, </w:t>
      </w:r>
      <w:r w:rsidR="000E0E93" w:rsidRPr="00EA083A">
        <w:rPr>
          <w:b/>
          <w:bCs/>
        </w:rPr>
        <w:t>30</w:t>
      </w:r>
      <w:r w:rsidR="00094A00" w:rsidRPr="00EA083A">
        <w:rPr>
          <w:b/>
          <w:bCs/>
        </w:rPr>
        <w:t xml:space="preserve"> pages max</w:t>
      </w:r>
      <w:r w:rsidR="008E407D" w:rsidRPr="00EA083A">
        <w:rPr>
          <w:b/>
          <w:bCs/>
        </w:rPr>
        <w:t>imum</w:t>
      </w:r>
      <w:r w:rsidR="00094A00" w:rsidRPr="00EA083A">
        <w:rPr>
          <w:b/>
          <w:bCs/>
        </w:rPr>
        <w:t xml:space="preserve"> hors annexes</w:t>
      </w:r>
      <w:r w:rsidR="00094A00">
        <w:t>.</w:t>
      </w:r>
    </w:p>
    <w:p w14:paraId="242AC3C6" w14:textId="77777777" w:rsidR="00BD4D74" w:rsidRDefault="00BD4D74" w:rsidP="00BD4D74">
      <w:pPr>
        <w:rPr>
          <w:i/>
          <w:iCs/>
        </w:rPr>
      </w:pPr>
      <w:r w:rsidRPr="00BD4D74">
        <w:rPr>
          <w:i/>
          <w:iCs/>
        </w:rPr>
        <w:t>La validation de cette note conditionnera la poursuite des travaux. Une réunion de restitution et de validation sera organisée avec le comité technique.</w:t>
      </w:r>
    </w:p>
    <w:p w14:paraId="54B402F6" w14:textId="77777777" w:rsidR="00464889" w:rsidRPr="00BD4D74" w:rsidRDefault="00464889" w:rsidP="00BD4D74">
      <w:pPr>
        <w:rPr>
          <w:i/>
          <w:iCs/>
        </w:rPr>
      </w:pPr>
    </w:p>
    <w:p w14:paraId="17A54014" w14:textId="1C9047A6" w:rsidR="00BD4D74" w:rsidRPr="00BD4D74" w:rsidRDefault="006E2E08" w:rsidP="00BA25AF">
      <w:pPr>
        <w:pStyle w:val="Titre2"/>
        <w:numPr>
          <w:ilvl w:val="1"/>
          <w:numId w:val="42"/>
        </w:numPr>
        <w:rPr>
          <w:bCs/>
        </w:rPr>
      </w:pPr>
      <w:bookmarkStart w:id="44" w:name="_Toc211411322"/>
      <w:r>
        <w:rPr>
          <w:bCs/>
        </w:rPr>
        <w:t xml:space="preserve">Phase 1 : Evaluation champs large : </w:t>
      </w:r>
      <w:r>
        <w:t>Logique d’intervention, gouvernance et pilotage stratégique</w:t>
      </w:r>
      <w:bookmarkEnd w:id="44"/>
    </w:p>
    <w:p w14:paraId="3997EBC6" w14:textId="77777777" w:rsidR="00BD4D74" w:rsidRPr="00BD4D74" w:rsidRDefault="00BD4D74" w:rsidP="00BD4D74">
      <w:r w:rsidRPr="00BD4D74">
        <w:t>Cette composante portera sur le programme dans son ensemble et mobilisera :</w:t>
      </w:r>
    </w:p>
    <w:p w14:paraId="143CE0BA" w14:textId="26FD278A" w:rsidR="00BD4D74" w:rsidRPr="00BD4D74" w:rsidRDefault="00464889" w:rsidP="00BA25AF">
      <w:pPr>
        <w:numPr>
          <w:ilvl w:val="0"/>
          <w:numId w:val="39"/>
        </w:numPr>
      </w:pPr>
      <w:r w:rsidRPr="00BD4D74">
        <w:rPr>
          <w:b/>
          <w:bCs/>
        </w:rPr>
        <w:t>R</w:t>
      </w:r>
      <w:r w:rsidR="00BD4D74" w:rsidRPr="00BD4D74">
        <w:rPr>
          <w:b/>
          <w:bCs/>
        </w:rPr>
        <w:t>evue</w:t>
      </w:r>
      <w:r>
        <w:rPr>
          <w:b/>
          <w:bCs/>
        </w:rPr>
        <w:t xml:space="preserve"> </w:t>
      </w:r>
      <w:r w:rsidR="00BD4D74" w:rsidRPr="00BD4D74">
        <w:rPr>
          <w:b/>
          <w:bCs/>
        </w:rPr>
        <w:t>documentaire</w:t>
      </w:r>
      <w:r w:rsidR="00BD4D74" w:rsidRPr="00BD4D74">
        <w:t xml:space="preserve"> (</w:t>
      </w:r>
      <w:r>
        <w:t>documents de capitalisation</w:t>
      </w:r>
      <w:r w:rsidR="00BD4D74" w:rsidRPr="00BD4D74">
        <w:t>, études, documents de programmation et de suivi) ;</w:t>
      </w:r>
    </w:p>
    <w:p w14:paraId="7E85F238" w14:textId="5F0A9385" w:rsidR="00BD4D74" w:rsidRPr="00BD4D74" w:rsidRDefault="00464889" w:rsidP="00BA25AF">
      <w:pPr>
        <w:numPr>
          <w:ilvl w:val="0"/>
          <w:numId w:val="39"/>
        </w:numPr>
      </w:pPr>
      <w:r w:rsidRPr="00BD4D74">
        <w:rPr>
          <w:b/>
          <w:bCs/>
        </w:rPr>
        <w:t>A</w:t>
      </w:r>
      <w:r w:rsidR="00BD4D74" w:rsidRPr="00BD4D74">
        <w:rPr>
          <w:b/>
          <w:bCs/>
        </w:rPr>
        <w:t>nalys</w:t>
      </w:r>
      <w:r>
        <w:rPr>
          <w:b/>
          <w:bCs/>
        </w:rPr>
        <w:t>e</w:t>
      </w:r>
      <w:r w:rsidR="00BD4D74" w:rsidRPr="00BD4D74">
        <w:rPr>
          <w:b/>
          <w:bCs/>
        </w:rPr>
        <w:t xml:space="preserve"> quantitative</w:t>
      </w:r>
      <w:r w:rsidR="00BD4D74" w:rsidRPr="00BD4D74">
        <w:t xml:space="preserve"> du portefeuille AdaptAction (appuis financés, répartition sectorielle et géographique, mobilisation de financements additionnels, </w:t>
      </w:r>
      <w:r w:rsidR="00BD4D74" w:rsidRPr="00BD4D74">
        <w:rPr>
          <w:i/>
          <w:iCs/>
        </w:rPr>
        <w:t>etc</w:t>
      </w:r>
      <w:r w:rsidR="00BD4D74" w:rsidRPr="00BD4D74">
        <w:t>.) ;</w:t>
      </w:r>
    </w:p>
    <w:p w14:paraId="73AA4673" w14:textId="565EF391" w:rsidR="00BD4D74" w:rsidRPr="00BD4D74" w:rsidRDefault="00464889" w:rsidP="00BA25AF">
      <w:pPr>
        <w:numPr>
          <w:ilvl w:val="0"/>
          <w:numId w:val="39"/>
        </w:numPr>
      </w:pPr>
      <w:r>
        <w:rPr>
          <w:b/>
          <w:bCs/>
        </w:rPr>
        <w:t>E</w:t>
      </w:r>
      <w:r w:rsidR="00BD4D74" w:rsidRPr="00BD4D74">
        <w:rPr>
          <w:b/>
          <w:bCs/>
        </w:rPr>
        <w:t>ntretiens</w:t>
      </w:r>
      <w:r w:rsidR="00BD4D74" w:rsidRPr="00BD4D74">
        <w:t xml:space="preserve"> (siège, directions régionales et agences, auprès des partenaires nationaux et internationaux, autres bailleurs, </w:t>
      </w:r>
      <w:r w:rsidR="00BD4D74" w:rsidRPr="00BD4D74">
        <w:rPr>
          <w:i/>
          <w:iCs/>
        </w:rPr>
        <w:t>etc</w:t>
      </w:r>
      <w:r w:rsidR="00BD4D74" w:rsidRPr="00BD4D74">
        <w:t>.) ;</w:t>
      </w:r>
    </w:p>
    <w:p w14:paraId="302D982E" w14:textId="0B4E4D85" w:rsidR="00FD02DA" w:rsidRDefault="00B85208" w:rsidP="00FD02DA">
      <w:pPr>
        <w:numPr>
          <w:ilvl w:val="0"/>
          <w:numId w:val="39"/>
        </w:numPr>
      </w:pPr>
      <w:r w:rsidRPr="00B85208">
        <w:rPr>
          <w:b/>
          <w:bCs/>
        </w:rPr>
        <w:t xml:space="preserve">Un benchmark de dispositifs comparables </w:t>
      </w:r>
      <w:r w:rsidR="00FD02DA">
        <w:t xml:space="preserve">L’évaluation comportera également un benchmark visant à situer le programme AdaptAction dans l’écosystème international des facilités d’appui à l’adaptation. </w:t>
      </w:r>
    </w:p>
    <w:p w14:paraId="6033F56D" w14:textId="00892FDC" w:rsidR="00FD02DA" w:rsidRDefault="00FD02DA" w:rsidP="0037041B">
      <w:pPr>
        <w:ind w:left="720"/>
      </w:pPr>
      <w:r>
        <w:t xml:space="preserve">Ce benchmark sera de portée ciblée, compte tenu du temps et du budget disponibles </w:t>
      </w:r>
      <w:r w:rsidRPr="00FD02DA">
        <w:t xml:space="preserve">L’exercice s’appuiera sur </w:t>
      </w:r>
      <w:r w:rsidRPr="00FD02DA">
        <w:rPr>
          <w:b/>
          <w:bCs/>
        </w:rPr>
        <w:t>deux à trois programmes de référence maximum</w:t>
      </w:r>
      <w:r w:rsidRPr="00FD02DA">
        <w:t xml:space="preserve"> (par exemple : GCF </w:t>
      </w:r>
      <w:proofErr w:type="spellStart"/>
      <w:r w:rsidRPr="00FD02DA">
        <w:t>Readiness</w:t>
      </w:r>
      <w:proofErr w:type="spellEnd"/>
      <w:r w:rsidRPr="00FD02DA">
        <w:t>, PACO-GIZ, NAP Global Network), sélectionnés pour leur pertinence méthodologique et institutionnelle.</w:t>
      </w:r>
    </w:p>
    <w:p w14:paraId="0082895D" w14:textId="0249E244" w:rsidR="00464889" w:rsidRDefault="00FD02DA" w:rsidP="00FD02DA">
      <w:pPr>
        <w:numPr>
          <w:ilvl w:val="0"/>
          <w:numId w:val="39"/>
        </w:numPr>
      </w:pPr>
      <w:r>
        <w:t>L’objectif est d’en tirer des points de comparaison analytiques et stratégiques — gouvernance, efficacité, portée et valeur ajoutée — sans développer une revue exhaustive.</w:t>
      </w:r>
    </w:p>
    <w:p w14:paraId="65AF7777" w14:textId="46F80B08" w:rsidR="00464889" w:rsidRPr="00464889" w:rsidRDefault="00464889" w:rsidP="00BD4D74">
      <w:pPr>
        <w:rPr>
          <w:i/>
          <w:iCs/>
        </w:rPr>
      </w:pPr>
      <w:bookmarkStart w:id="45" w:name="_Hlk207359750"/>
      <w:r w:rsidRPr="00464889">
        <w:rPr>
          <w:i/>
          <w:iCs/>
        </w:rPr>
        <w:t>Livrable(s) attendu(s) :</w:t>
      </w:r>
      <w:r w:rsidR="006E7871">
        <w:rPr>
          <w:i/>
          <w:iCs/>
        </w:rPr>
        <w:t xml:space="preserve"> </w:t>
      </w:r>
    </w:p>
    <w:bookmarkEnd w:id="45"/>
    <w:p w14:paraId="0EDE79D0" w14:textId="3BF72FB9" w:rsidR="00464889" w:rsidRPr="00EA083A" w:rsidRDefault="00B85208" w:rsidP="00BA25AF">
      <w:pPr>
        <w:numPr>
          <w:ilvl w:val="0"/>
          <w:numId w:val="43"/>
        </w:numPr>
        <w:rPr>
          <w:b/>
          <w:bCs/>
        </w:rPr>
      </w:pPr>
      <w:r w:rsidRPr="00EA083A">
        <w:rPr>
          <w:b/>
          <w:bCs/>
        </w:rPr>
        <w:t xml:space="preserve">Livrable 2 : </w:t>
      </w:r>
      <w:r w:rsidR="00464889" w:rsidRPr="00EA083A">
        <w:rPr>
          <w:b/>
          <w:bCs/>
        </w:rPr>
        <w:t>Un rapport</w:t>
      </w:r>
      <w:r w:rsidR="000C2B41" w:rsidRPr="00EA083A">
        <w:rPr>
          <w:b/>
          <w:bCs/>
        </w:rPr>
        <w:t xml:space="preserve"> intermédiaire</w:t>
      </w:r>
      <w:r w:rsidR="00464889" w:rsidRPr="00EA083A">
        <w:rPr>
          <w:b/>
          <w:bCs/>
        </w:rPr>
        <w:t xml:space="preserve"> provisoire de l’évaluation</w:t>
      </w:r>
      <w:r w:rsidR="00D973A8" w:rsidRPr="00EA083A">
        <w:rPr>
          <w:b/>
          <w:bCs/>
        </w:rPr>
        <w:t xml:space="preserve"> portant sur</w:t>
      </w:r>
      <w:r w:rsidRPr="00EA083A">
        <w:rPr>
          <w:b/>
          <w:bCs/>
        </w:rPr>
        <w:t xml:space="preserve"> la logique d’intervention et la gouvernance du </w:t>
      </w:r>
      <w:proofErr w:type="gramStart"/>
      <w:r w:rsidRPr="00EA083A">
        <w:rPr>
          <w:b/>
          <w:bCs/>
        </w:rPr>
        <w:t>programme</w:t>
      </w:r>
      <w:r w:rsidR="00464889" w:rsidRPr="00EA083A">
        <w:rPr>
          <w:b/>
          <w:bCs/>
        </w:rPr>
        <w:t>»</w:t>
      </w:r>
      <w:proofErr w:type="gramEnd"/>
      <w:r w:rsidR="00464889" w:rsidRPr="00EA083A">
        <w:rPr>
          <w:b/>
          <w:bCs/>
        </w:rPr>
        <w:t xml:space="preserve"> (</w:t>
      </w:r>
      <w:r w:rsidR="006E2E08" w:rsidRPr="00EA083A">
        <w:rPr>
          <w:b/>
          <w:bCs/>
        </w:rPr>
        <w:t>5</w:t>
      </w:r>
      <w:r w:rsidR="00464889" w:rsidRPr="00EA083A">
        <w:rPr>
          <w:b/>
          <w:bCs/>
        </w:rPr>
        <w:t>0 pages max., hors annexes) ;</w:t>
      </w:r>
    </w:p>
    <w:p w14:paraId="3AD46B28" w14:textId="77777777" w:rsidR="00464889" w:rsidRDefault="00464889" w:rsidP="00464889">
      <w:pPr>
        <w:pStyle w:val="Paragraphedeliste"/>
      </w:pPr>
    </w:p>
    <w:p w14:paraId="4D63DA59" w14:textId="77777777" w:rsidR="00464889" w:rsidRPr="00BD4D74" w:rsidRDefault="00464889" w:rsidP="00BD4D74"/>
    <w:p w14:paraId="7D599832" w14:textId="730BEC2A" w:rsidR="00BD4D74" w:rsidRPr="006E2E08" w:rsidRDefault="006E2E08" w:rsidP="0037041B">
      <w:pPr>
        <w:pStyle w:val="Titre2"/>
        <w:numPr>
          <w:ilvl w:val="1"/>
          <w:numId w:val="4"/>
        </w:numPr>
      </w:pPr>
      <w:bookmarkStart w:id="46" w:name="_Toc211411323"/>
      <w:r>
        <w:t xml:space="preserve">Phase 2 : </w:t>
      </w:r>
      <w:r w:rsidRPr="00FD2023">
        <w:t>Le portefeuille de projets AdaptAction</w:t>
      </w:r>
      <w:bookmarkEnd w:id="46"/>
    </w:p>
    <w:p w14:paraId="7130A13C" w14:textId="2F58A0EA" w:rsidR="00BD4D74" w:rsidRDefault="006E2E08" w:rsidP="00BD4D74">
      <w:r w:rsidRPr="006E2E08">
        <w:t xml:space="preserve">Cette phase portera sur </w:t>
      </w:r>
      <w:r>
        <w:t xml:space="preserve">une revue de portefeuille et une analyse </w:t>
      </w:r>
      <w:r w:rsidRPr="006E2E08">
        <w:t xml:space="preserve">approfondie d’un </w:t>
      </w:r>
      <w:r w:rsidRPr="006E2E08">
        <w:rPr>
          <w:b/>
          <w:bCs/>
        </w:rPr>
        <w:t>échantillon géographique</w:t>
      </w:r>
      <w:r w:rsidRPr="006E2E08">
        <w:t xml:space="preserve"> </w:t>
      </w:r>
      <w:r>
        <w:t xml:space="preserve">(qui se sera croisée avec des critères thématiques) </w:t>
      </w:r>
      <w:r w:rsidRPr="006E2E08">
        <w:t>représentatif du portefeuille AdaptAction, afin d’apporter un éclairage qualitatif et illustratif sur la mise en œuvre du programme dans différents contextes.</w:t>
      </w:r>
    </w:p>
    <w:p w14:paraId="0C94CA41" w14:textId="29D0B392" w:rsidR="006E2E08" w:rsidRDefault="006E2E08" w:rsidP="00BD4D74">
      <w:r w:rsidRPr="006E2E08">
        <w:t xml:space="preserve">L’échantillon portera sur </w:t>
      </w:r>
      <w:r w:rsidRPr="006E2E08">
        <w:rPr>
          <w:b/>
          <w:bCs/>
        </w:rPr>
        <w:t>cinq pays pressentis</w:t>
      </w:r>
      <w:r w:rsidRPr="006E2E08">
        <w:t xml:space="preserve"> – </w:t>
      </w:r>
      <w:r w:rsidRPr="006E2E08">
        <w:rPr>
          <w:b/>
          <w:bCs/>
        </w:rPr>
        <w:t>Sénégal, Guinée, République du Congo, Maurice et Madagascar</w:t>
      </w:r>
      <w:r w:rsidRPr="006E2E08">
        <w:t xml:space="preserve"> – reflétant la diversité des zones d’intervention du programme (Grand Sahel, Golfe de Guinée, Afrique centrale, Océan Indien).</w:t>
      </w:r>
      <w:r w:rsidR="000C2B41">
        <w:t xml:space="preserve"> Il donnera lieu à :</w:t>
      </w:r>
    </w:p>
    <w:p w14:paraId="07F0153D" w14:textId="77777777" w:rsidR="006E2E08" w:rsidRPr="00BD4D74" w:rsidRDefault="006E2E08" w:rsidP="00BD4D74"/>
    <w:p w14:paraId="71A66A5D" w14:textId="12667142" w:rsidR="00BD4D74" w:rsidRPr="00BD4D74" w:rsidRDefault="00BD4D74" w:rsidP="00BA25AF">
      <w:pPr>
        <w:numPr>
          <w:ilvl w:val="0"/>
          <w:numId w:val="40"/>
        </w:numPr>
      </w:pPr>
      <w:proofErr w:type="gramStart"/>
      <w:r w:rsidRPr="00BD4D74">
        <w:t>d’une</w:t>
      </w:r>
      <w:proofErr w:type="gramEnd"/>
      <w:r w:rsidRPr="00BD4D74">
        <w:t xml:space="preserve"> </w:t>
      </w:r>
      <w:r w:rsidRPr="00BD4D74">
        <w:rPr>
          <w:b/>
          <w:bCs/>
        </w:rPr>
        <w:t xml:space="preserve">analyse documentaire </w:t>
      </w:r>
      <w:r w:rsidR="00464889">
        <w:rPr>
          <w:b/>
          <w:bCs/>
        </w:rPr>
        <w:t>approfondi</w:t>
      </w:r>
      <w:r w:rsidR="00F96ABC">
        <w:rPr>
          <w:b/>
          <w:bCs/>
        </w:rPr>
        <w:t>e</w:t>
      </w:r>
      <w:r w:rsidR="00464889">
        <w:rPr>
          <w:b/>
          <w:bCs/>
        </w:rPr>
        <w:t xml:space="preserve"> </w:t>
      </w:r>
      <w:r w:rsidRPr="00BD4D74">
        <w:t xml:space="preserve">des </w:t>
      </w:r>
      <w:r w:rsidR="00464889">
        <w:t>appuis</w:t>
      </w:r>
      <w:r w:rsidRPr="00BD4D74">
        <w:t xml:space="preserve"> inclus ;</w:t>
      </w:r>
    </w:p>
    <w:p w14:paraId="184B5D76" w14:textId="77777777" w:rsidR="00BD4D74" w:rsidRPr="00BD4D74" w:rsidRDefault="00BD4D74" w:rsidP="00BA25AF">
      <w:pPr>
        <w:numPr>
          <w:ilvl w:val="0"/>
          <w:numId w:val="40"/>
        </w:numPr>
      </w:pPr>
      <w:proofErr w:type="gramStart"/>
      <w:r w:rsidRPr="00BD4D74">
        <w:t>d’</w:t>
      </w:r>
      <w:r w:rsidRPr="00BD4D74">
        <w:rPr>
          <w:b/>
          <w:bCs/>
        </w:rPr>
        <w:t>entretiens</w:t>
      </w:r>
      <w:proofErr w:type="gramEnd"/>
      <w:r w:rsidRPr="00BD4D74">
        <w:rPr>
          <w:b/>
          <w:bCs/>
        </w:rPr>
        <w:t xml:space="preserve"> complémentaires</w:t>
      </w:r>
      <w:r w:rsidRPr="00BD4D74">
        <w:t xml:space="preserve"> (partenaires institutionnels, agences AFD, experts, société civile, bailleurs) ;</w:t>
      </w:r>
    </w:p>
    <w:p w14:paraId="1E4D2C18" w14:textId="15EDA256" w:rsidR="00BD4D74" w:rsidRDefault="006E2E08" w:rsidP="00BA25AF">
      <w:pPr>
        <w:numPr>
          <w:ilvl w:val="0"/>
          <w:numId w:val="40"/>
        </w:numPr>
      </w:pPr>
      <w:proofErr w:type="gramStart"/>
      <w:r>
        <w:t>missions</w:t>
      </w:r>
      <w:proofErr w:type="gramEnd"/>
      <w:r>
        <w:t xml:space="preserve"> de terrain (au moins </w:t>
      </w:r>
      <w:r w:rsidR="00C221B5">
        <w:t xml:space="preserve">dans </w:t>
      </w:r>
      <w:r w:rsidR="00567EF9">
        <w:t>4</w:t>
      </w:r>
      <w:r w:rsidR="00C221B5">
        <w:t xml:space="preserve"> des 5 pays choisis</w:t>
      </w:r>
      <w:r>
        <w:t>)</w:t>
      </w:r>
    </w:p>
    <w:p w14:paraId="7A2C51FD" w14:textId="77777777" w:rsidR="00464889" w:rsidRPr="00BD4D74" w:rsidRDefault="00464889" w:rsidP="00464889">
      <w:pPr>
        <w:ind w:left="720"/>
      </w:pPr>
    </w:p>
    <w:p w14:paraId="3AD96659" w14:textId="77777777" w:rsidR="00464889" w:rsidRDefault="00464889" w:rsidP="00464889">
      <w:pPr>
        <w:rPr>
          <w:u w:val="single"/>
        </w:rPr>
      </w:pPr>
    </w:p>
    <w:p w14:paraId="7D83E15D" w14:textId="4769A485" w:rsidR="00464889" w:rsidRPr="00464889" w:rsidRDefault="00464889" w:rsidP="00464889">
      <w:pPr>
        <w:rPr>
          <w:i/>
          <w:iCs/>
        </w:rPr>
      </w:pPr>
      <w:r w:rsidRPr="00464889">
        <w:rPr>
          <w:i/>
          <w:iCs/>
        </w:rPr>
        <w:t>Livrable(s) attendu(s) :</w:t>
      </w:r>
    </w:p>
    <w:p w14:paraId="1B9E997C" w14:textId="70E525D5" w:rsidR="006E2E08" w:rsidRPr="00EA083A" w:rsidRDefault="006E2E08" w:rsidP="006E2E08">
      <w:pPr>
        <w:numPr>
          <w:ilvl w:val="0"/>
          <w:numId w:val="43"/>
        </w:numPr>
        <w:rPr>
          <w:b/>
          <w:bCs/>
        </w:rPr>
      </w:pPr>
      <w:r w:rsidRPr="00EA083A">
        <w:rPr>
          <w:b/>
          <w:bCs/>
        </w:rPr>
        <w:t xml:space="preserve">Livrable </w:t>
      </w:r>
      <w:r w:rsidR="00EA083A" w:rsidRPr="00EA083A">
        <w:rPr>
          <w:b/>
          <w:bCs/>
        </w:rPr>
        <w:t>3 :</w:t>
      </w:r>
      <w:r w:rsidRPr="00EA083A">
        <w:rPr>
          <w:b/>
          <w:bCs/>
        </w:rPr>
        <w:t xml:space="preserve"> </w:t>
      </w:r>
      <w:r w:rsidR="0091007C" w:rsidRPr="00EA083A">
        <w:rPr>
          <w:b/>
          <w:bCs/>
        </w:rPr>
        <w:t>Rapport de revue globale du portefeuille AdaptAction</w:t>
      </w:r>
    </w:p>
    <w:p w14:paraId="448E89D7" w14:textId="6155AE2A" w:rsidR="0091007C" w:rsidRPr="00EA083A" w:rsidRDefault="0091007C" w:rsidP="00F15CA6">
      <w:pPr>
        <w:pStyle w:val="Paragraphedeliste"/>
        <w:numPr>
          <w:ilvl w:val="0"/>
          <w:numId w:val="43"/>
        </w:numPr>
        <w:rPr>
          <w:b/>
          <w:bCs/>
        </w:rPr>
      </w:pPr>
      <w:r w:rsidRPr="00EA083A">
        <w:rPr>
          <w:b/>
          <w:bCs/>
        </w:rPr>
        <w:t xml:space="preserve">Livrable </w:t>
      </w:r>
      <w:r w:rsidR="00567EF9" w:rsidRPr="00EA083A">
        <w:rPr>
          <w:b/>
          <w:bCs/>
        </w:rPr>
        <w:t>4</w:t>
      </w:r>
      <w:r w:rsidRPr="00EA083A">
        <w:rPr>
          <w:b/>
          <w:bCs/>
        </w:rPr>
        <w:t xml:space="preserve"> :  </w:t>
      </w:r>
      <w:r w:rsidR="000850AB" w:rsidRPr="00EA083A">
        <w:rPr>
          <w:b/>
          <w:bCs/>
        </w:rPr>
        <w:t xml:space="preserve">Compte Rendu </w:t>
      </w:r>
      <w:r w:rsidR="00EA083A" w:rsidRPr="00EA083A">
        <w:rPr>
          <w:b/>
          <w:bCs/>
        </w:rPr>
        <w:t>pays (</w:t>
      </w:r>
      <w:r w:rsidR="004D6837" w:rsidRPr="00EA083A">
        <w:rPr>
          <w:b/>
          <w:bCs/>
        </w:rPr>
        <w:t>10</w:t>
      </w:r>
      <w:r w:rsidR="00464889" w:rsidRPr="00EA083A">
        <w:rPr>
          <w:b/>
          <w:bCs/>
        </w:rPr>
        <w:t xml:space="preserve"> pages max. chacun, hors annexes)</w:t>
      </w:r>
      <w:r w:rsidR="000850AB" w:rsidRPr="00EA083A">
        <w:rPr>
          <w:b/>
          <w:bCs/>
        </w:rPr>
        <w:t xml:space="preserve">. </w:t>
      </w:r>
      <w:r w:rsidRPr="00EA083A">
        <w:rPr>
          <w:b/>
          <w:bCs/>
        </w:rPr>
        <w:t>Chaque rapport présentera les résultats d’analyse documentaire et de terrain, les entretiens menés, les principaux constats et enseignements spécifiques au contexte national.</w:t>
      </w:r>
    </w:p>
    <w:p w14:paraId="115C21AA" w14:textId="77777777" w:rsidR="00464889" w:rsidRPr="00BD4D74" w:rsidRDefault="00464889" w:rsidP="00464889">
      <w:pPr>
        <w:pStyle w:val="Paragraphedeliste"/>
      </w:pPr>
    </w:p>
    <w:p w14:paraId="76D3AFDF" w14:textId="77777777" w:rsidR="00BD4D74" w:rsidRPr="00BD4D74" w:rsidRDefault="00BD4D74" w:rsidP="00BA25AF">
      <w:pPr>
        <w:pStyle w:val="Titre2"/>
        <w:numPr>
          <w:ilvl w:val="1"/>
          <w:numId w:val="42"/>
        </w:numPr>
        <w:rPr>
          <w:bCs/>
        </w:rPr>
      </w:pPr>
      <w:bookmarkStart w:id="47" w:name="_Toc211411324"/>
      <w:r w:rsidRPr="00BD4D74">
        <w:rPr>
          <w:bCs/>
        </w:rPr>
        <w:t>Composante 3 – Finalisation et restitution</w:t>
      </w:r>
      <w:bookmarkEnd w:id="47"/>
    </w:p>
    <w:p w14:paraId="320EF659" w14:textId="7DAB3CB9" w:rsidR="00BD4D74" w:rsidRDefault="00BD4D74" w:rsidP="00BD4D74">
      <w:r w:rsidRPr="00BD4D74">
        <w:t xml:space="preserve">Sur la base des analyses précédentes, le bureau d’étude produira un </w:t>
      </w:r>
      <w:r w:rsidRPr="00BD4D74">
        <w:rPr>
          <w:b/>
          <w:bCs/>
        </w:rPr>
        <w:t>rapport final consolidé</w:t>
      </w:r>
      <w:r w:rsidRPr="00BD4D74">
        <w:t xml:space="preserve"> et une </w:t>
      </w:r>
      <w:r w:rsidRPr="00BD4D74">
        <w:rPr>
          <w:b/>
          <w:bCs/>
        </w:rPr>
        <w:t>synthèse courte</w:t>
      </w:r>
      <w:r w:rsidRPr="00BD4D74">
        <w:t xml:space="preserve"> (≤30 pages, plus un résumé de 4 pages </w:t>
      </w:r>
      <w:r w:rsidR="00464889">
        <w:t>en français et anglais</w:t>
      </w:r>
      <w:r w:rsidRPr="00BD4D74">
        <w:t>). Les résultats seront présentés lors d’un</w:t>
      </w:r>
      <w:r w:rsidR="00464889">
        <w:t xml:space="preserve"> comité de pilotage</w:t>
      </w:r>
      <w:r w:rsidRPr="00BD4D74">
        <w:t>.</w:t>
      </w:r>
    </w:p>
    <w:p w14:paraId="2654B5AF" w14:textId="264F044F" w:rsidR="00464889" w:rsidRPr="00464889" w:rsidRDefault="00464889" w:rsidP="00BD4D74">
      <w:pPr>
        <w:rPr>
          <w:i/>
          <w:iCs/>
        </w:rPr>
      </w:pPr>
      <w:r w:rsidRPr="00464889">
        <w:rPr>
          <w:i/>
          <w:iCs/>
        </w:rPr>
        <w:t>Livrable(s) attendu(s) :</w:t>
      </w:r>
    </w:p>
    <w:p w14:paraId="067D5192" w14:textId="4ACDE5F2" w:rsidR="00464889" w:rsidRPr="00EA083A" w:rsidRDefault="00983528" w:rsidP="00BA25AF">
      <w:pPr>
        <w:numPr>
          <w:ilvl w:val="0"/>
          <w:numId w:val="41"/>
        </w:numPr>
        <w:rPr>
          <w:b/>
          <w:bCs/>
        </w:rPr>
      </w:pPr>
      <w:r w:rsidRPr="00EA083A">
        <w:rPr>
          <w:b/>
          <w:bCs/>
        </w:rPr>
        <w:t xml:space="preserve">Livrable </w:t>
      </w:r>
      <w:r w:rsidR="00567EF9" w:rsidRPr="00EA083A">
        <w:rPr>
          <w:b/>
          <w:bCs/>
        </w:rPr>
        <w:t>5</w:t>
      </w:r>
      <w:r w:rsidRPr="00EA083A">
        <w:rPr>
          <w:b/>
          <w:bCs/>
        </w:rPr>
        <w:t xml:space="preserve"> : </w:t>
      </w:r>
      <w:r w:rsidR="00464889" w:rsidRPr="00EA083A">
        <w:rPr>
          <w:b/>
          <w:bCs/>
        </w:rPr>
        <w:t>Un rapport final consolidé (60 pages max., hors annexes) intégrant l’ensemble des analyses ;</w:t>
      </w:r>
    </w:p>
    <w:p w14:paraId="2466FBCD" w14:textId="5D00CB31" w:rsidR="00464889" w:rsidRPr="00EA083A" w:rsidRDefault="00983528" w:rsidP="00983528">
      <w:pPr>
        <w:numPr>
          <w:ilvl w:val="0"/>
          <w:numId w:val="41"/>
        </w:numPr>
        <w:rPr>
          <w:b/>
          <w:bCs/>
        </w:rPr>
      </w:pPr>
      <w:r w:rsidRPr="00EA083A">
        <w:rPr>
          <w:b/>
          <w:bCs/>
        </w:rPr>
        <w:t xml:space="preserve">Livrable </w:t>
      </w:r>
      <w:r w:rsidR="00567EF9" w:rsidRPr="00EA083A">
        <w:rPr>
          <w:b/>
          <w:bCs/>
        </w:rPr>
        <w:t>6</w:t>
      </w:r>
      <w:r w:rsidRPr="00EA083A">
        <w:rPr>
          <w:b/>
          <w:bCs/>
        </w:rPr>
        <w:t xml:space="preserve"> : </w:t>
      </w:r>
      <w:r w:rsidR="00464889" w:rsidRPr="00EA083A">
        <w:rPr>
          <w:b/>
          <w:bCs/>
        </w:rPr>
        <w:t>Une synthèse de l’évaluation (≤</w:t>
      </w:r>
      <w:r w:rsidR="00D17366" w:rsidRPr="00EA083A">
        <w:rPr>
          <w:b/>
          <w:bCs/>
        </w:rPr>
        <w:t> 3</w:t>
      </w:r>
      <w:r w:rsidR="00464889" w:rsidRPr="00EA083A">
        <w:rPr>
          <w:b/>
          <w:bCs/>
        </w:rPr>
        <w:t xml:space="preserve">0 pages) (4 pages FR/EN) </w:t>
      </w:r>
      <w:r w:rsidRPr="00EA083A">
        <w:rPr>
          <w:b/>
          <w:bCs/>
        </w:rPr>
        <w:t>ainsi qu’</w:t>
      </w:r>
      <w:r w:rsidR="000C2B41" w:rsidRPr="00EA083A">
        <w:rPr>
          <w:b/>
          <w:bCs/>
        </w:rPr>
        <w:t xml:space="preserve">un résumé exécutif </w:t>
      </w:r>
      <w:r w:rsidR="00345D28" w:rsidRPr="00EA083A">
        <w:rPr>
          <w:b/>
          <w:bCs/>
        </w:rPr>
        <w:t xml:space="preserve">sélectif </w:t>
      </w:r>
      <w:r w:rsidR="000C2B41" w:rsidRPr="00EA083A">
        <w:rPr>
          <w:b/>
          <w:bCs/>
        </w:rPr>
        <w:t>(4 pages FR/EN, rédigé en ciblant un public de décideurs).</w:t>
      </w:r>
      <w:r w:rsidR="004D6837" w:rsidRPr="00EA083A">
        <w:rPr>
          <w:b/>
          <w:bCs/>
        </w:rPr>
        <w:t xml:space="preserve"> U</w:t>
      </w:r>
      <w:r w:rsidR="00464889" w:rsidRPr="00EA083A">
        <w:rPr>
          <w:b/>
          <w:bCs/>
        </w:rPr>
        <w:t>n support de présentation (PowerPoint) pour les restitutions.</w:t>
      </w:r>
    </w:p>
    <w:p w14:paraId="6CC6176B" w14:textId="77777777" w:rsidR="00464889" w:rsidRDefault="00464889" w:rsidP="00BD4D74"/>
    <w:p w14:paraId="324F1654" w14:textId="77777777" w:rsidR="00464889" w:rsidRPr="00BD4D74" w:rsidRDefault="00464889" w:rsidP="00464889">
      <w:r w:rsidRPr="00BD4D74">
        <w:t xml:space="preserve">Les consultants sont invités à </w:t>
      </w:r>
      <w:r w:rsidRPr="00BD4D74">
        <w:rPr>
          <w:b/>
          <w:bCs/>
        </w:rPr>
        <w:t>développer leur propre méthodologie</w:t>
      </w:r>
      <w:r w:rsidRPr="00BD4D74">
        <w:t>, dans le respect de ce cadre général, et à proposer des innovations permettant de garantir la robustesse et l’utilité de l’évaluation.</w:t>
      </w:r>
    </w:p>
    <w:p w14:paraId="5577C4B6" w14:textId="77777777" w:rsidR="00464889" w:rsidRDefault="00464889" w:rsidP="00BD4D74"/>
    <w:p w14:paraId="4D1A0266" w14:textId="77777777" w:rsidR="00BD4D74" w:rsidRDefault="00BD4D74" w:rsidP="00BD4D74"/>
    <w:p w14:paraId="537426AB" w14:textId="77777777" w:rsidR="00A61543" w:rsidRPr="002C50D8" w:rsidRDefault="007F1F62" w:rsidP="00BA25AF">
      <w:pPr>
        <w:pStyle w:val="Titre1"/>
        <w:numPr>
          <w:ilvl w:val="0"/>
          <w:numId w:val="1"/>
        </w:numPr>
        <w:rPr>
          <w:rFonts w:ascii="Roboto" w:hAnsi="Roboto"/>
        </w:rPr>
      </w:pPr>
      <w:bookmarkStart w:id="48" w:name="_tujnb7l3dud4" w:colFirst="0" w:colLast="0"/>
      <w:bookmarkStart w:id="49" w:name="_Toc211411325"/>
      <w:bookmarkEnd w:id="48"/>
      <w:r w:rsidRPr="002C50D8">
        <w:rPr>
          <w:rFonts w:ascii="Roboto" w:hAnsi="Roboto"/>
          <w:b/>
        </w:rPr>
        <w:t>EXPERTISES REQUISES</w:t>
      </w:r>
      <w:bookmarkEnd w:id="49"/>
      <w:r w:rsidRPr="002C50D8">
        <w:rPr>
          <w:rFonts w:ascii="Roboto" w:hAnsi="Roboto"/>
          <w:b/>
        </w:rPr>
        <w:t xml:space="preserve"> </w:t>
      </w:r>
    </w:p>
    <w:p w14:paraId="4F7B2D5D" w14:textId="77777777" w:rsidR="00A61543" w:rsidRPr="002C50D8" w:rsidRDefault="00A61543">
      <w:bookmarkStart w:id="50" w:name="_amdh872dbftg" w:colFirst="0" w:colLast="0"/>
      <w:bookmarkEnd w:id="50"/>
    </w:p>
    <w:p w14:paraId="2183E82A" w14:textId="77777777" w:rsidR="00E243F4" w:rsidRDefault="00E243F4" w:rsidP="009F6644"/>
    <w:p w14:paraId="4C2B1C25" w14:textId="57B7E818" w:rsidR="00E243F4" w:rsidRDefault="00E243F4" w:rsidP="00E243F4">
      <w:r w:rsidRPr="00E243F4">
        <w:t>La mission devra mobiliser un</w:t>
      </w:r>
      <w:r w:rsidR="003D7108">
        <w:t xml:space="preserve">e équipe </w:t>
      </w:r>
      <w:r w:rsidRPr="00E243F4">
        <w:t>pluridisciplinaire, justifiant des expériences solides en matière d’évaluation de programmes internationaux climat et développement. Les expertises attendues couvrent les domaines suivants :</w:t>
      </w:r>
    </w:p>
    <w:p w14:paraId="47CEC52F" w14:textId="77777777" w:rsidR="00E243F4" w:rsidRPr="00E243F4" w:rsidRDefault="00E243F4" w:rsidP="00E243F4"/>
    <w:p w14:paraId="02608A92" w14:textId="033C71BD" w:rsidR="009F6644" w:rsidRPr="00637B97" w:rsidRDefault="00E243F4" w:rsidP="00E243F4">
      <w:pPr>
        <w:pStyle w:val="Paragraphedeliste"/>
        <w:numPr>
          <w:ilvl w:val="3"/>
          <w:numId w:val="1"/>
        </w:numPr>
        <w:rPr>
          <w:b/>
          <w:bCs/>
        </w:rPr>
      </w:pPr>
      <w:r w:rsidRPr="00637B97">
        <w:rPr>
          <w:b/>
          <w:bCs/>
        </w:rPr>
        <w:t>Expertises générales</w:t>
      </w:r>
      <w:r w:rsidR="00F96ABC">
        <w:rPr>
          <w:b/>
          <w:bCs/>
        </w:rPr>
        <w:t xml:space="preserve"> pour l’ECL</w:t>
      </w:r>
    </w:p>
    <w:p w14:paraId="465791B0" w14:textId="77777777" w:rsidR="00E243F4" w:rsidRPr="009F6644" w:rsidRDefault="00E243F4" w:rsidP="00637B97">
      <w:pPr>
        <w:pStyle w:val="Paragraphedeliste"/>
        <w:ind w:left="2880"/>
      </w:pPr>
    </w:p>
    <w:p w14:paraId="14893424" w14:textId="47460730" w:rsidR="00345D28" w:rsidRDefault="00345D28" w:rsidP="00345D28">
      <w:pPr>
        <w:numPr>
          <w:ilvl w:val="0"/>
          <w:numId w:val="35"/>
        </w:numPr>
      </w:pPr>
      <w:r w:rsidRPr="009F6644">
        <w:rPr>
          <w:b/>
          <w:bCs/>
        </w:rPr>
        <w:t>Une expérience d’au moins 10 ans</w:t>
      </w:r>
      <w:r w:rsidRPr="009F6644">
        <w:t xml:space="preserve"> </w:t>
      </w:r>
      <w:r>
        <w:t>en évaluation</w:t>
      </w:r>
      <w:r w:rsidR="00E6277C">
        <w:t xml:space="preserve"> de projet/programmes/politiques publiques, portant notamment sur</w:t>
      </w:r>
      <w:r w:rsidRPr="009F6644">
        <w:t xml:space="preserve"> des fonds ou </w:t>
      </w:r>
      <w:r w:rsidR="00E6277C">
        <w:t>facilités</w:t>
      </w:r>
      <w:r w:rsidRPr="009F6644">
        <w:t xml:space="preserve"> de montants financiers comparables</w:t>
      </w:r>
      <w:r>
        <w:t>,</w:t>
      </w:r>
      <w:r w:rsidR="00E6277C">
        <w:t xml:space="preserve"> en particulier</w:t>
      </w:r>
      <w:r>
        <w:t xml:space="preserve"> pour la personne en responsabilité de l’évaluation</w:t>
      </w:r>
      <w:r w:rsidRPr="009F6644">
        <w:t xml:space="preserve"> ;</w:t>
      </w:r>
    </w:p>
    <w:p w14:paraId="2050A795" w14:textId="0202DE96" w:rsidR="00E6277C" w:rsidRPr="009F6644" w:rsidRDefault="00E6277C" w:rsidP="00E6277C">
      <w:pPr>
        <w:numPr>
          <w:ilvl w:val="0"/>
          <w:numId w:val="35"/>
        </w:numPr>
      </w:pPr>
      <w:r w:rsidRPr="009F6644">
        <w:rPr>
          <w:b/>
          <w:bCs/>
        </w:rPr>
        <w:lastRenderedPageBreak/>
        <w:t>Une expérience avérée dans les évaluations de projets</w:t>
      </w:r>
      <w:r w:rsidRPr="002C50D8">
        <w:rPr>
          <w:b/>
          <w:bCs/>
        </w:rPr>
        <w:t>/programme</w:t>
      </w:r>
      <w:r w:rsidRPr="009F6644">
        <w:t xml:space="preserve">, notamment en contexte de vulnérabilité climatique et institutionnelle </w:t>
      </w:r>
      <w:r>
        <w:t>est également attendue, ainsi qu’</w:t>
      </w:r>
      <w:r>
        <w:rPr>
          <w:b/>
          <w:bCs/>
        </w:rPr>
        <w:t>un</w:t>
      </w:r>
      <w:r w:rsidRPr="009F6644">
        <w:rPr>
          <w:b/>
          <w:bCs/>
        </w:rPr>
        <w:t>e maîtrise solide des différentes approches de l’évaluation</w:t>
      </w:r>
      <w:r>
        <w:t xml:space="preserve"> </w:t>
      </w:r>
      <w:r w:rsidRPr="009F6644">
        <w:t>;</w:t>
      </w:r>
    </w:p>
    <w:p w14:paraId="4CB0A68E" w14:textId="40B1097F" w:rsidR="009F6644" w:rsidRPr="009F6644" w:rsidRDefault="009F6644" w:rsidP="00BA25AF">
      <w:pPr>
        <w:numPr>
          <w:ilvl w:val="0"/>
          <w:numId w:val="35"/>
        </w:numPr>
      </w:pPr>
      <w:r w:rsidRPr="009F6644">
        <w:rPr>
          <w:b/>
          <w:bCs/>
        </w:rPr>
        <w:t xml:space="preserve">Des expériences professionnelles importantes </w:t>
      </w:r>
      <w:r w:rsidRPr="009F6644">
        <w:t xml:space="preserve">et </w:t>
      </w:r>
      <w:r w:rsidRPr="00637B97">
        <w:rPr>
          <w:b/>
          <w:bCs/>
        </w:rPr>
        <w:t>récentes</w:t>
      </w:r>
      <w:r w:rsidRPr="009F6644">
        <w:t xml:space="preserve"> dans les zones géographiques couvertes par AdaptAction (Afrique</w:t>
      </w:r>
      <w:r w:rsidR="00464889">
        <w:t xml:space="preserve">, Moyen-Orient) </w:t>
      </w:r>
      <w:r w:rsidRPr="009F6644">
        <w:t>;</w:t>
      </w:r>
    </w:p>
    <w:p w14:paraId="18C218FA" w14:textId="06EE7A4E" w:rsidR="0045519F" w:rsidRPr="0045519F" w:rsidRDefault="009F6644" w:rsidP="00F15CA6">
      <w:pPr>
        <w:numPr>
          <w:ilvl w:val="0"/>
          <w:numId w:val="35"/>
        </w:numPr>
        <w:rPr>
          <w:b/>
          <w:bCs/>
        </w:rPr>
      </w:pPr>
      <w:r w:rsidRPr="009F6644">
        <w:rPr>
          <w:b/>
          <w:bCs/>
        </w:rPr>
        <w:t>Une très bonne connaissance des approches d’aide au développement et de l’action climat</w:t>
      </w:r>
      <w:r w:rsidRPr="009F6644">
        <w:t xml:space="preserve">, </w:t>
      </w:r>
      <w:r w:rsidR="00E6277C">
        <w:rPr>
          <w:b/>
          <w:bCs/>
        </w:rPr>
        <w:t>et une expertise confirmée en a</w:t>
      </w:r>
      <w:r w:rsidR="00E6277C" w:rsidRPr="0045519F">
        <w:rPr>
          <w:b/>
          <w:bCs/>
        </w:rPr>
        <w:t xml:space="preserve">daptation </w:t>
      </w:r>
      <w:r w:rsidR="00E6277C" w:rsidRPr="0051621F">
        <w:t>au changement climatique et politiques publiques</w:t>
      </w:r>
    </w:p>
    <w:p w14:paraId="6E300FF3" w14:textId="3A228DD8" w:rsidR="009F6644" w:rsidRDefault="009F6644" w:rsidP="00BA25AF">
      <w:pPr>
        <w:numPr>
          <w:ilvl w:val="0"/>
          <w:numId w:val="35"/>
        </w:numPr>
      </w:pPr>
      <w:r w:rsidRPr="009F6644">
        <w:rPr>
          <w:b/>
          <w:bCs/>
        </w:rPr>
        <w:t>D’excellentes compétences rédactionnelles en français et en anglais</w:t>
      </w:r>
      <w:r w:rsidRPr="009F6644">
        <w:t xml:space="preserve"> (la production de livrables dans les deux langues sera requise)</w:t>
      </w:r>
      <w:r w:rsidR="00BA25AF">
        <w:t>.</w:t>
      </w:r>
    </w:p>
    <w:p w14:paraId="748CBFB6" w14:textId="707A118A" w:rsidR="00440C28" w:rsidRPr="00777055" w:rsidRDefault="00440C28" w:rsidP="00BA25AF">
      <w:pPr>
        <w:numPr>
          <w:ilvl w:val="0"/>
          <w:numId w:val="35"/>
        </w:numPr>
      </w:pPr>
      <w:r>
        <w:rPr>
          <w:b/>
          <w:bCs/>
        </w:rPr>
        <w:t>Une expérience en animation d’atelier sera valorisée.</w:t>
      </w:r>
    </w:p>
    <w:p w14:paraId="274F0A95" w14:textId="77777777" w:rsidR="0045519F" w:rsidRPr="00637B97" w:rsidRDefault="0045519F" w:rsidP="00777055">
      <w:pPr>
        <w:ind w:left="720"/>
      </w:pPr>
    </w:p>
    <w:p w14:paraId="5A588357" w14:textId="61E70D7E" w:rsidR="00E243F4" w:rsidRPr="00E243F4" w:rsidRDefault="00E243F4" w:rsidP="00637B97">
      <w:pPr>
        <w:pStyle w:val="Paragraphedeliste"/>
        <w:numPr>
          <w:ilvl w:val="3"/>
          <w:numId w:val="1"/>
        </w:numPr>
        <w:rPr>
          <w:b/>
          <w:bCs/>
        </w:rPr>
      </w:pPr>
      <w:r w:rsidRPr="00E243F4">
        <w:rPr>
          <w:b/>
          <w:bCs/>
        </w:rPr>
        <w:t>Expertises thématiques</w:t>
      </w:r>
      <w:r>
        <w:rPr>
          <w:b/>
          <w:bCs/>
        </w:rPr>
        <w:t xml:space="preserve"> et sectorielles </w:t>
      </w:r>
      <w:r w:rsidRPr="00E243F4">
        <w:rPr>
          <w:b/>
          <w:bCs/>
        </w:rPr>
        <w:t xml:space="preserve">selon les </w:t>
      </w:r>
      <w:r w:rsidR="00983528">
        <w:rPr>
          <w:b/>
          <w:bCs/>
        </w:rPr>
        <w:t>échantillons</w:t>
      </w:r>
      <w:r w:rsidRPr="00E243F4">
        <w:rPr>
          <w:b/>
          <w:bCs/>
        </w:rPr>
        <w:t xml:space="preserve"> retenues</w:t>
      </w:r>
    </w:p>
    <w:p w14:paraId="5E3462DC" w14:textId="35B0F4F3" w:rsidR="00842D38" w:rsidRPr="0045519F" w:rsidRDefault="0045519F" w:rsidP="0045519F">
      <w:pPr>
        <w:ind w:left="720"/>
        <w:rPr>
          <w:b/>
          <w:bCs/>
        </w:rPr>
      </w:pPr>
      <w:r w:rsidRPr="00777055">
        <w:t>Un pool d’expertises sectorielles complémentaires sera mobilisé en fonction des thématiques et contextes retenus lors de l’échantillonnage (</w:t>
      </w:r>
      <w:r w:rsidR="00EA083A">
        <w:t>études de cas</w:t>
      </w:r>
      <w:r w:rsidRPr="00777055">
        <w:t xml:space="preserve"> géographiques et thématiques). Ce pool couvrira</w:t>
      </w:r>
      <w:r w:rsidRPr="0045519F">
        <w:rPr>
          <w:b/>
          <w:bCs/>
        </w:rPr>
        <w:t xml:space="preserve"> </w:t>
      </w:r>
      <w:r w:rsidRPr="00777055">
        <w:t xml:space="preserve">les principaux domaines d’intervention </w:t>
      </w:r>
      <w:r w:rsidR="00842D38">
        <w:t>au regard des appuis choisis dans l’échantillon de projets étudiés, parmi :</w:t>
      </w:r>
    </w:p>
    <w:p w14:paraId="5EEE5882" w14:textId="2E3494AD" w:rsidR="0045519F" w:rsidRPr="00777055" w:rsidRDefault="0045519F" w:rsidP="00F15CA6">
      <w:pPr>
        <w:pStyle w:val="Paragraphedeliste"/>
        <w:numPr>
          <w:ilvl w:val="0"/>
          <w:numId w:val="58"/>
        </w:numPr>
      </w:pPr>
      <w:r w:rsidRPr="00777055">
        <w:t>Gestion des ressources naturelles et biodiversité : solutions fondées sur la nature (</w:t>
      </w:r>
      <w:proofErr w:type="spellStart"/>
      <w:r w:rsidRPr="00777055">
        <w:t>SfN</w:t>
      </w:r>
      <w:proofErr w:type="spellEnd"/>
      <w:r w:rsidRPr="00777055">
        <w:t xml:space="preserve">), </w:t>
      </w:r>
      <w:r w:rsidR="00080DCD">
        <w:t>restauration</w:t>
      </w:r>
      <w:r w:rsidRPr="00777055">
        <w:t xml:space="preserve"> </w:t>
      </w:r>
      <w:r w:rsidR="00080DCD">
        <w:t xml:space="preserve">des </w:t>
      </w:r>
      <w:r w:rsidRPr="00777055">
        <w:t>écosystèmes, résilience des paysages ;</w:t>
      </w:r>
    </w:p>
    <w:p w14:paraId="78C64C63" w14:textId="77777777" w:rsidR="0045519F" w:rsidRPr="00777055" w:rsidRDefault="0045519F" w:rsidP="00777055">
      <w:pPr>
        <w:numPr>
          <w:ilvl w:val="0"/>
          <w:numId w:val="35"/>
        </w:numPr>
      </w:pPr>
      <w:r w:rsidRPr="00777055">
        <w:t>Eau et ressources hydriques : gouvernance, gestion durable des prélèvements et adaptation des services d’eau face au changement climatique ;</w:t>
      </w:r>
    </w:p>
    <w:p w14:paraId="6A6D7802" w14:textId="77777777" w:rsidR="0045519F" w:rsidRPr="00777055" w:rsidRDefault="0045519F" w:rsidP="00777055">
      <w:pPr>
        <w:numPr>
          <w:ilvl w:val="0"/>
          <w:numId w:val="35"/>
        </w:numPr>
      </w:pPr>
      <w:r w:rsidRPr="00777055">
        <w:t>Agriculture et systèmes alimentaires : transition agroécologique, sécurité alimentaire et résilience des filières ;</w:t>
      </w:r>
    </w:p>
    <w:p w14:paraId="04A1E349" w14:textId="77777777" w:rsidR="0045519F" w:rsidRPr="00777055" w:rsidRDefault="0045519F" w:rsidP="00777055">
      <w:pPr>
        <w:numPr>
          <w:ilvl w:val="0"/>
          <w:numId w:val="35"/>
        </w:numPr>
      </w:pPr>
      <w:r w:rsidRPr="00777055">
        <w:t>Développement urbain et territoires résilients : infrastructures adaptatives, planification urbaine durable, gestion des risques climatiques en milieu urbain ;</w:t>
      </w:r>
    </w:p>
    <w:p w14:paraId="519912FA" w14:textId="77777777" w:rsidR="0045519F" w:rsidRPr="00777055" w:rsidRDefault="0045519F" w:rsidP="00777055">
      <w:pPr>
        <w:numPr>
          <w:ilvl w:val="0"/>
          <w:numId w:val="35"/>
        </w:numPr>
      </w:pPr>
      <w:r w:rsidRPr="00777055">
        <w:t>Zones côtières et littorales : prévention de l’érosion, gestion intégrée des zones côtières, adaptation aux risques marins et aux inondations ;</w:t>
      </w:r>
    </w:p>
    <w:p w14:paraId="491BC203" w14:textId="77777777" w:rsidR="0045519F" w:rsidRPr="00777055" w:rsidRDefault="0045519F" w:rsidP="0045519F">
      <w:pPr>
        <w:numPr>
          <w:ilvl w:val="0"/>
          <w:numId w:val="35"/>
        </w:numPr>
      </w:pPr>
      <w:r w:rsidRPr="00777055">
        <w:t>Santé et vulnérabilités sociales : impacts du climat sur la santé publique, inclusion des populations vulnérables.</w:t>
      </w:r>
    </w:p>
    <w:p w14:paraId="5E897508" w14:textId="77777777" w:rsidR="0045519F" w:rsidRPr="0045519F" w:rsidRDefault="0045519F" w:rsidP="00777055">
      <w:pPr>
        <w:numPr>
          <w:ilvl w:val="0"/>
          <w:numId w:val="35"/>
        </w:numPr>
        <w:rPr>
          <w:b/>
          <w:bCs/>
        </w:rPr>
      </w:pPr>
      <w:r w:rsidRPr="00777055">
        <w:t>Une expertise spécifique en genre, jeunesse et inclusion sociale</w:t>
      </w:r>
      <w:r w:rsidRPr="0045519F">
        <w:rPr>
          <w:b/>
          <w:bCs/>
        </w:rPr>
        <w:t xml:space="preserve"> </w:t>
      </w:r>
      <w:r w:rsidRPr="00777055">
        <w:t>est requise pour garantir une analyse sensible aux inégalités structurelles et à la participation des groupes les plus vulnérables. Cette dimension devra être intégrée de manière transversale à l’ensemble des analyses et recommandations.</w:t>
      </w:r>
    </w:p>
    <w:p w14:paraId="0CADA2C0" w14:textId="77777777" w:rsidR="00BA25AF" w:rsidRPr="009F6644" w:rsidRDefault="00BA25AF" w:rsidP="00BA25AF">
      <w:pPr>
        <w:ind w:left="720"/>
      </w:pPr>
    </w:p>
    <w:p w14:paraId="44E0CD5F" w14:textId="73C7B716" w:rsidR="009F6644" w:rsidRPr="009F6644" w:rsidRDefault="009F6644" w:rsidP="009F6644">
      <w:r w:rsidRPr="009F6644">
        <w:rPr>
          <w:b/>
          <w:bCs/>
        </w:rPr>
        <w:t>Points d’attention :</w:t>
      </w:r>
    </w:p>
    <w:p w14:paraId="6B458A09" w14:textId="532E6E2D" w:rsidR="00BA25AF" w:rsidRDefault="00BA25AF" w:rsidP="00BA25AF">
      <w:pPr>
        <w:numPr>
          <w:ilvl w:val="0"/>
          <w:numId w:val="36"/>
        </w:numPr>
      </w:pPr>
      <w:r w:rsidRPr="00BA25AF">
        <w:t xml:space="preserve">La composition de l’équipe d’évaluateurs devra, dans la mesure du possible, refléter une </w:t>
      </w:r>
      <w:r w:rsidRPr="00BA25AF">
        <w:rPr>
          <w:b/>
          <w:bCs/>
        </w:rPr>
        <w:t>mixité entre expertises nationales et internationales</w:t>
      </w:r>
      <w:r w:rsidRPr="00BA25AF">
        <w:t xml:space="preserve">. </w:t>
      </w:r>
    </w:p>
    <w:p w14:paraId="66E34B8E" w14:textId="09010FE2" w:rsidR="009F6644" w:rsidRDefault="009F6644" w:rsidP="00BA25AF">
      <w:pPr>
        <w:numPr>
          <w:ilvl w:val="0"/>
          <w:numId w:val="36"/>
        </w:numPr>
      </w:pPr>
      <w:r w:rsidRPr="009F6644">
        <w:rPr>
          <w:b/>
          <w:bCs/>
        </w:rPr>
        <w:t>L’étude devant être réalisée dans un délai resserré</w:t>
      </w:r>
      <w:r w:rsidRPr="009F6644">
        <w:t xml:space="preserve">, la capacité du consortium à mobiliser </w:t>
      </w:r>
      <w:r w:rsidRPr="009F6644">
        <w:rPr>
          <w:b/>
          <w:bCs/>
        </w:rPr>
        <w:t>une expertise élargie, réactive et complémentaire</w:t>
      </w:r>
      <w:r w:rsidRPr="009F6644">
        <w:t xml:space="preserve"> (climat, adaptation, gouvernance, suivi-évaluation, sciences sociales, etc.) sera </w:t>
      </w:r>
      <w:r w:rsidR="00F15CA6">
        <w:t xml:space="preserve">un </w:t>
      </w:r>
      <w:r w:rsidR="00F15CA6" w:rsidRPr="007C4E62">
        <w:rPr>
          <w:b/>
          <w:bCs/>
        </w:rPr>
        <w:t>atout considérable.</w:t>
      </w:r>
    </w:p>
    <w:p w14:paraId="4D0B0093" w14:textId="6363ACBF" w:rsidR="0045519F" w:rsidRPr="0045519F" w:rsidRDefault="0045519F" w:rsidP="004710E3">
      <w:pPr>
        <w:numPr>
          <w:ilvl w:val="0"/>
          <w:numId w:val="36"/>
        </w:numPr>
      </w:pPr>
      <w:r>
        <w:t xml:space="preserve">Gestion des conflits d’intérêts : </w:t>
      </w:r>
      <w:r w:rsidRPr="0045519F">
        <w:t xml:space="preserve">Les bureaux d’études ayant déjà participé à la mise en œuvre d’appuis financés par le programme AdaptAction </w:t>
      </w:r>
      <w:r w:rsidRPr="0045519F">
        <w:rPr>
          <w:b/>
          <w:bCs/>
        </w:rPr>
        <w:t>ne sont pas exclus de la consultation</w:t>
      </w:r>
      <w:r w:rsidRPr="0045519F">
        <w:t xml:space="preserve">. Toutefois, une attention particulière sera portée à la </w:t>
      </w:r>
      <w:r w:rsidRPr="0045519F">
        <w:rPr>
          <w:b/>
          <w:bCs/>
        </w:rPr>
        <w:t>prévention et à la gestion des risques de conflit d’intérêts</w:t>
      </w:r>
      <w:r w:rsidRPr="0045519F">
        <w:t>.</w:t>
      </w:r>
      <w:r>
        <w:t xml:space="preserve"> </w:t>
      </w:r>
      <w:r w:rsidRPr="0045519F">
        <w:t>À ce titre :</w:t>
      </w:r>
    </w:p>
    <w:p w14:paraId="3A21EC42" w14:textId="77777777" w:rsidR="0045519F" w:rsidRPr="0045519F" w:rsidRDefault="0045519F" w:rsidP="0045519F">
      <w:pPr>
        <w:numPr>
          <w:ilvl w:val="1"/>
          <w:numId w:val="36"/>
        </w:numPr>
        <w:tabs>
          <w:tab w:val="num" w:pos="720"/>
        </w:tabs>
      </w:pPr>
      <w:r w:rsidRPr="0045519F">
        <w:t xml:space="preserve">Les </w:t>
      </w:r>
      <w:r w:rsidRPr="0045519F">
        <w:rPr>
          <w:b/>
          <w:bCs/>
        </w:rPr>
        <w:t>études de cas</w:t>
      </w:r>
      <w:r w:rsidRPr="0045519F">
        <w:t xml:space="preserve"> retenues pour l’évaluation </w:t>
      </w:r>
      <w:r w:rsidRPr="0045519F">
        <w:rPr>
          <w:b/>
          <w:bCs/>
        </w:rPr>
        <w:t>ne devront pas inclure</w:t>
      </w:r>
      <w:r w:rsidRPr="0045519F">
        <w:t xml:space="preserve"> d’appuis sur lesquels le prestataire aurait directement contribué ou fourni une assistance technique.</w:t>
      </w:r>
    </w:p>
    <w:p w14:paraId="4271662F" w14:textId="77777777" w:rsidR="0045519F" w:rsidRPr="0045519F" w:rsidRDefault="0045519F" w:rsidP="0045519F">
      <w:pPr>
        <w:numPr>
          <w:ilvl w:val="1"/>
          <w:numId w:val="36"/>
        </w:numPr>
        <w:tabs>
          <w:tab w:val="num" w:pos="720"/>
        </w:tabs>
      </w:pPr>
      <w:r w:rsidRPr="0045519F">
        <w:t xml:space="preserve">Les soumissionnaires sont invités à </w:t>
      </w:r>
      <w:r w:rsidRPr="0045519F">
        <w:rPr>
          <w:b/>
          <w:bCs/>
        </w:rPr>
        <w:t>décrire dans leur offre technique</w:t>
      </w:r>
      <w:r w:rsidRPr="0045519F">
        <w:t xml:space="preserve"> les </w:t>
      </w:r>
      <w:r w:rsidRPr="0045519F">
        <w:rPr>
          <w:b/>
          <w:bCs/>
        </w:rPr>
        <w:t>mesures prévues pour prévenir et gérer tout conflit d’intérêts potentiel</w:t>
      </w:r>
      <w:r w:rsidRPr="0045519F">
        <w:t>, notamment :</w:t>
      </w:r>
    </w:p>
    <w:p w14:paraId="1369FA7C" w14:textId="77777777" w:rsidR="0045519F" w:rsidRPr="0045519F" w:rsidRDefault="0045519F" w:rsidP="0045519F">
      <w:pPr>
        <w:numPr>
          <w:ilvl w:val="1"/>
          <w:numId w:val="36"/>
        </w:numPr>
      </w:pPr>
      <w:proofErr w:type="gramStart"/>
      <w:r w:rsidRPr="0045519F">
        <w:lastRenderedPageBreak/>
        <w:t>l’identification</w:t>
      </w:r>
      <w:proofErr w:type="gramEnd"/>
      <w:r w:rsidRPr="0045519F">
        <w:t xml:space="preserve"> des interventions ou appuis où le bureau est déjà intervenu ;</w:t>
      </w:r>
    </w:p>
    <w:p w14:paraId="63BB1F9E" w14:textId="77777777" w:rsidR="0045519F" w:rsidRPr="0045519F" w:rsidRDefault="0045519F" w:rsidP="0045519F">
      <w:pPr>
        <w:numPr>
          <w:ilvl w:val="1"/>
          <w:numId w:val="36"/>
        </w:numPr>
      </w:pPr>
      <w:proofErr w:type="gramStart"/>
      <w:r w:rsidRPr="0045519F">
        <w:t>les</w:t>
      </w:r>
      <w:proofErr w:type="gramEnd"/>
      <w:r w:rsidRPr="0045519F">
        <w:t xml:space="preserve"> dispositions organisationnelles envisagées pour garantir l’indépendance analytique (séparation d’équipes, validation croisée, relectures externes, etc.) ;</w:t>
      </w:r>
    </w:p>
    <w:p w14:paraId="1CB8CF8F" w14:textId="77777777" w:rsidR="0045519F" w:rsidRPr="0045519F" w:rsidRDefault="0045519F" w:rsidP="0045519F">
      <w:pPr>
        <w:numPr>
          <w:ilvl w:val="1"/>
          <w:numId w:val="36"/>
        </w:numPr>
      </w:pPr>
      <w:proofErr w:type="gramStart"/>
      <w:r w:rsidRPr="0045519F">
        <w:t>une</w:t>
      </w:r>
      <w:proofErr w:type="gramEnd"/>
      <w:r w:rsidRPr="0045519F">
        <w:t xml:space="preserve"> déclaration d’absence de conflit d’intérêts signée par le chef de mission.</w:t>
      </w:r>
    </w:p>
    <w:p w14:paraId="78FF6EA6" w14:textId="77777777" w:rsidR="0045519F" w:rsidRPr="0045519F" w:rsidRDefault="0045519F" w:rsidP="0045519F">
      <w:pPr>
        <w:numPr>
          <w:ilvl w:val="1"/>
          <w:numId w:val="36"/>
        </w:numPr>
      </w:pPr>
      <w:r w:rsidRPr="0045519F">
        <w:t xml:space="preserve">Cette approche permettra d’assurer la </w:t>
      </w:r>
      <w:r w:rsidRPr="0045519F">
        <w:rPr>
          <w:b/>
          <w:bCs/>
        </w:rPr>
        <w:t>neutralité, la crédibilité et la transparence</w:t>
      </w:r>
      <w:r w:rsidRPr="0045519F">
        <w:t xml:space="preserve"> des travaux d’évaluation, tout en valorisant la connaissance approfondie du programme par les prestataires expérimentés.</w:t>
      </w:r>
    </w:p>
    <w:p w14:paraId="475FB3C8" w14:textId="77777777" w:rsidR="0045519F" w:rsidRPr="009F6644" w:rsidRDefault="0045519F" w:rsidP="004710E3">
      <w:pPr>
        <w:ind w:left="1440"/>
      </w:pPr>
    </w:p>
    <w:p w14:paraId="1EC1E3AC" w14:textId="77777777" w:rsidR="009F6644" w:rsidRPr="002C50D8" w:rsidRDefault="009F6644"/>
    <w:p w14:paraId="3AC11903" w14:textId="77777777" w:rsidR="009F6644" w:rsidRPr="002C50D8" w:rsidRDefault="009F6644"/>
    <w:p w14:paraId="40E8B2ED" w14:textId="77777777" w:rsidR="009F6644" w:rsidRPr="002C50D8" w:rsidRDefault="009F6644"/>
    <w:p w14:paraId="433D6762" w14:textId="6692206E" w:rsidR="00BA25AF" w:rsidRPr="00BA25AF" w:rsidRDefault="00BA25AF" w:rsidP="00BA25AF">
      <w:pPr>
        <w:pStyle w:val="Titre1"/>
        <w:numPr>
          <w:ilvl w:val="0"/>
          <w:numId w:val="1"/>
        </w:numPr>
        <w:rPr>
          <w:rFonts w:ascii="Roboto" w:hAnsi="Roboto"/>
          <w:b/>
          <w:bCs/>
        </w:rPr>
      </w:pPr>
      <w:bookmarkStart w:id="51" w:name="_Toc211411326"/>
      <w:r w:rsidRPr="00BA25AF">
        <w:rPr>
          <w:rFonts w:ascii="Roboto" w:hAnsi="Roboto"/>
          <w:b/>
          <w:bCs/>
        </w:rPr>
        <w:t>LOGISTIQUE ET CALENDRIER D’EXECUTION DU MARCHE</w:t>
      </w:r>
      <w:bookmarkEnd w:id="51"/>
    </w:p>
    <w:p w14:paraId="4023056D" w14:textId="77777777" w:rsidR="00A61543" w:rsidRPr="002C50D8" w:rsidRDefault="00A61543">
      <w:pPr>
        <w:tabs>
          <w:tab w:val="right" w:pos="1180"/>
        </w:tabs>
        <w:rPr>
          <w:highlight w:val="yellow"/>
        </w:rPr>
      </w:pPr>
    </w:p>
    <w:p w14:paraId="37FEDB99" w14:textId="77777777" w:rsidR="00A61543" w:rsidRPr="002C50D8" w:rsidRDefault="00A61543">
      <w:bookmarkStart w:id="52" w:name="_acfgepdoqcre" w:colFirst="0" w:colLast="0"/>
      <w:bookmarkStart w:id="53" w:name="_hib6mfszc8s5" w:colFirst="0" w:colLast="0"/>
      <w:bookmarkEnd w:id="52"/>
      <w:bookmarkEnd w:id="53"/>
    </w:p>
    <w:p w14:paraId="473B46E9" w14:textId="77777777" w:rsidR="00A61543" w:rsidRPr="002C50D8" w:rsidRDefault="007F1F62" w:rsidP="00BA25AF">
      <w:pPr>
        <w:pStyle w:val="Titre2"/>
        <w:numPr>
          <w:ilvl w:val="1"/>
          <w:numId w:val="5"/>
        </w:numPr>
      </w:pPr>
      <w:bookmarkStart w:id="54" w:name="_sq9hkuu4p4f" w:colFirst="0" w:colLast="0"/>
      <w:bookmarkStart w:id="55" w:name="_Toc211411327"/>
      <w:bookmarkEnd w:id="54"/>
      <w:r w:rsidRPr="002C50D8">
        <w:t>Suivi des prestations / relations avec le prestataire</w:t>
      </w:r>
      <w:bookmarkEnd w:id="55"/>
      <w:r w:rsidRPr="002C50D8">
        <w:t xml:space="preserve">  </w:t>
      </w:r>
    </w:p>
    <w:p w14:paraId="6D71A31E" w14:textId="66CE049B" w:rsidR="00983528" w:rsidRPr="00983528" w:rsidRDefault="00983528" w:rsidP="00983528">
      <w:pPr>
        <w:spacing w:before="120" w:after="120"/>
      </w:pPr>
      <w:r w:rsidRPr="00983528">
        <w:t>Le suivi de la mission sera assuré par l’AFD à travers l’équipe projet en charge du programme AdaptActio</w:t>
      </w:r>
      <w:r>
        <w:t>n ainsi que la division en charge de l’évaluation</w:t>
      </w:r>
      <w:r w:rsidRPr="00983528">
        <w:t>, en lien avec les directions concernées.</w:t>
      </w:r>
      <w:r w:rsidRPr="00983528">
        <w:br/>
        <w:t>Des points d’étape réguliers seront organisés tout au long de la mission afin de valider les principales étapes méthodologiques, les livrables intermédiaires et les conclusions de l’évaluation.</w:t>
      </w:r>
    </w:p>
    <w:p w14:paraId="432A3F83" w14:textId="7ED660CD" w:rsidR="00983528" w:rsidRDefault="00983528" w:rsidP="00983528">
      <w:pPr>
        <w:spacing w:before="120" w:after="120"/>
      </w:pPr>
      <w:r w:rsidRPr="00983528">
        <w:t xml:space="preserve">Un </w:t>
      </w:r>
      <w:r w:rsidRPr="00983528">
        <w:rPr>
          <w:b/>
          <w:bCs/>
        </w:rPr>
        <w:t>comité de pilotage</w:t>
      </w:r>
      <w:r w:rsidRPr="00983528">
        <w:t xml:space="preserve"> </w:t>
      </w:r>
      <w:r w:rsidR="004710E3">
        <w:t xml:space="preserve">et un groupe de référence externe </w:t>
      </w:r>
      <w:r w:rsidRPr="00983528">
        <w:t>ser</w:t>
      </w:r>
      <w:r w:rsidR="004710E3">
        <w:t>ont</w:t>
      </w:r>
      <w:r w:rsidRPr="00983528">
        <w:t xml:space="preserve"> mis en place spécifiquement pour cette évaluation.</w:t>
      </w:r>
      <w:r>
        <w:t xml:space="preserve"> </w:t>
      </w:r>
      <w:r w:rsidRPr="00983528">
        <w:t>Il</w:t>
      </w:r>
      <w:r w:rsidR="004710E3">
        <w:t>s</w:t>
      </w:r>
      <w:r w:rsidRPr="00983528">
        <w:t xml:space="preserve"> aur</w:t>
      </w:r>
      <w:r w:rsidR="004710E3">
        <w:t>ont</w:t>
      </w:r>
      <w:r w:rsidRPr="00983528">
        <w:t xml:space="preserve"> pour rôle </w:t>
      </w:r>
      <w:proofErr w:type="gramStart"/>
      <w:r w:rsidR="004710E3">
        <w:t>respectivement:</w:t>
      </w:r>
      <w:proofErr w:type="gramEnd"/>
      <w:r w:rsidRPr="00983528">
        <w:t xml:space="preserve"> </w:t>
      </w:r>
    </w:p>
    <w:p w14:paraId="57D8B6E8" w14:textId="7173FC00" w:rsidR="004710E3" w:rsidRDefault="004710E3" w:rsidP="004710E3">
      <w:r>
        <w:t xml:space="preserve">Pour le Copil : </w:t>
      </w:r>
    </w:p>
    <w:p w14:paraId="00D59697" w14:textId="77777777" w:rsidR="004710E3" w:rsidRDefault="004710E3" w:rsidP="004710E3">
      <w:pPr>
        <w:ind w:left="720"/>
      </w:pPr>
    </w:p>
    <w:p w14:paraId="14A65E68" w14:textId="42EFB3E8" w:rsidR="00983528" w:rsidRPr="00A60B9F" w:rsidRDefault="00983528" w:rsidP="00983528">
      <w:pPr>
        <w:numPr>
          <w:ilvl w:val="0"/>
          <w:numId w:val="35"/>
        </w:numPr>
      </w:pPr>
      <w:proofErr w:type="gramStart"/>
      <w:r w:rsidRPr="00983528">
        <w:t>superviser</w:t>
      </w:r>
      <w:proofErr w:type="gramEnd"/>
      <w:r w:rsidRPr="00983528">
        <w:t xml:space="preserve"> la bonne conduite de la mission et le respect des termes de référence ;</w:t>
      </w:r>
    </w:p>
    <w:p w14:paraId="2A839D32" w14:textId="6F175A28" w:rsidR="00983528" w:rsidRDefault="004710E3" w:rsidP="00983528">
      <w:pPr>
        <w:numPr>
          <w:ilvl w:val="0"/>
          <w:numId w:val="35"/>
        </w:numPr>
      </w:pPr>
      <w:proofErr w:type="gramStart"/>
      <w:r>
        <w:t>réviser</w:t>
      </w:r>
      <w:proofErr w:type="gramEnd"/>
      <w:r>
        <w:t xml:space="preserve"> </w:t>
      </w:r>
      <w:r w:rsidR="00983528" w:rsidRPr="00983528">
        <w:t>les livrables clés (note de cadrage, rapports provisoires, rapport final) ;</w:t>
      </w:r>
    </w:p>
    <w:p w14:paraId="0267125A" w14:textId="77777777" w:rsidR="004710E3" w:rsidRDefault="004710E3" w:rsidP="004710E3"/>
    <w:p w14:paraId="4CFA0702" w14:textId="11142B2F" w:rsidR="004710E3" w:rsidRPr="00A60B9F" w:rsidRDefault="004710E3" w:rsidP="004710E3">
      <w:r>
        <w:t>Pour le GR externe :</w:t>
      </w:r>
    </w:p>
    <w:p w14:paraId="3B8BA9D0" w14:textId="7570FE3E" w:rsidR="00983528" w:rsidRPr="00983528" w:rsidRDefault="00842D38" w:rsidP="00A60B9F">
      <w:pPr>
        <w:numPr>
          <w:ilvl w:val="0"/>
          <w:numId w:val="35"/>
        </w:numPr>
      </w:pPr>
      <w:proofErr w:type="gramStart"/>
      <w:r>
        <w:t>donne</w:t>
      </w:r>
      <w:proofErr w:type="gramEnd"/>
      <w:r>
        <w:t xml:space="preserve"> un avis et contribue à la réflexion autour de certains livrables clefs.</w:t>
      </w:r>
    </w:p>
    <w:p w14:paraId="77FE6A66" w14:textId="480AEA5C" w:rsidR="00983528" w:rsidRPr="00983528" w:rsidRDefault="00983528" w:rsidP="00983528">
      <w:pPr>
        <w:spacing w:before="120" w:after="120"/>
      </w:pPr>
      <w:r w:rsidRPr="00983528">
        <w:t>Le comité de pilotage se réunira à chaque étape charnière du processus et pourra être consulté à distance pour valider des livrables intermédiaires ou trancher sur des ajustements méthodologiques.</w:t>
      </w:r>
    </w:p>
    <w:p w14:paraId="71EA397D" w14:textId="77777777" w:rsidR="00983528" w:rsidRPr="002C50D8" w:rsidRDefault="00983528" w:rsidP="002D2EA3">
      <w:pPr>
        <w:spacing w:before="120" w:after="120"/>
      </w:pPr>
    </w:p>
    <w:p w14:paraId="017D0D3B" w14:textId="77777777" w:rsidR="00A61543" w:rsidRPr="002C50D8" w:rsidRDefault="007F1F62" w:rsidP="00BA25AF">
      <w:pPr>
        <w:pStyle w:val="Titre2"/>
        <w:numPr>
          <w:ilvl w:val="1"/>
          <w:numId w:val="5"/>
        </w:numPr>
      </w:pPr>
      <w:bookmarkStart w:id="56" w:name="_Toc211411328"/>
      <w:r w:rsidRPr="002C50D8">
        <w:t>Lieu de déroulement de l’étude</w:t>
      </w:r>
      <w:bookmarkEnd w:id="56"/>
      <w:r w:rsidRPr="002C50D8">
        <w:t xml:space="preserve"> </w:t>
      </w:r>
    </w:p>
    <w:p w14:paraId="357142B6" w14:textId="77777777" w:rsidR="00A61543" w:rsidRPr="002C50D8" w:rsidRDefault="00A61543">
      <w:pPr>
        <w:tabs>
          <w:tab w:val="right" w:pos="1180"/>
        </w:tabs>
      </w:pPr>
    </w:p>
    <w:p w14:paraId="106F601F" w14:textId="77777777" w:rsidR="00A61543" w:rsidRPr="002C50D8" w:rsidRDefault="007F1F62" w:rsidP="00BA25AF">
      <w:pPr>
        <w:pStyle w:val="Titre2"/>
        <w:numPr>
          <w:ilvl w:val="1"/>
          <w:numId w:val="5"/>
        </w:numPr>
      </w:pPr>
      <w:bookmarkStart w:id="57" w:name="_yctcvz6ybst8" w:colFirst="0" w:colLast="0"/>
      <w:bookmarkStart w:id="58" w:name="_Toc211411329"/>
      <w:bookmarkEnd w:id="57"/>
      <w:r w:rsidRPr="002C50D8">
        <w:t>Calendrier prévisionnel des prestations et étendue des services</w:t>
      </w:r>
      <w:bookmarkEnd w:id="58"/>
      <w:r w:rsidRPr="002C50D8">
        <w:t xml:space="preserve"> </w:t>
      </w:r>
    </w:p>
    <w:p w14:paraId="1BC7524A" w14:textId="5AAE0539" w:rsidR="00A61543" w:rsidRDefault="007F1F62">
      <w:pPr>
        <w:spacing w:before="120" w:after="120"/>
      </w:pPr>
      <w:r w:rsidRPr="004710E3">
        <w:t xml:space="preserve">Les prestations s’étaleront sur une période de </w:t>
      </w:r>
      <w:r w:rsidR="004A1DDC">
        <w:t>10</w:t>
      </w:r>
      <w:r w:rsidR="006745E2" w:rsidRPr="004710E3">
        <w:t xml:space="preserve"> </w:t>
      </w:r>
      <w:r w:rsidRPr="004710E3">
        <w:t xml:space="preserve">mois (y compris la préparation et soumission des rapports) après le démarrage de l’appui. La date prévue pour le début de la prestation est fixée à </w:t>
      </w:r>
      <w:r w:rsidR="006745E2" w:rsidRPr="004710E3">
        <w:t>la notification du marché</w:t>
      </w:r>
      <w:r w:rsidRPr="004710E3">
        <w:t>. La date de démarrage exacte sera fixée par ordre administratif, suite à l’attribution du marché.</w:t>
      </w:r>
    </w:p>
    <w:p w14:paraId="6BAEA3CB" w14:textId="77777777" w:rsidR="00AB1ECD" w:rsidRDefault="00AB1ECD">
      <w:pPr>
        <w:spacing w:before="120" w:after="120"/>
      </w:pPr>
    </w:p>
    <w:tbl>
      <w:tblPr>
        <w:tblW w:w="9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gridCol w:w="4940"/>
        <w:gridCol w:w="3342"/>
      </w:tblGrid>
      <w:tr w:rsidR="004710E3" w:rsidRPr="00663DF5" w14:paraId="14E0FA30" w14:textId="77777777" w:rsidTr="00F15CA6">
        <w:tc>
          <w:tcPr>
            <w:tcW w:w="464" w:type="dxa"/>
            <w:shd w:val="clear" w:color="auto" w:fill="auto"/>
          </w:tcPr>
          <w:p w14:paraId="1DC36384" w14:textId="5451BB64" w:rsidR="0091007C" w:rsidRPr="00663DF5" w:rsidRDefault="0091007C" w:rsidP="00BC2C7B">
            <w:r>
              <w:t>N°</w:t>
            </w:r>
            <w:r w:rsidR="004C2023">
              <w:t xml:space="preserve"> livrable</w:t>
            </w:r>
          </w:p>
        </w:tc>
        <w:tc>
          <w:tcPr>
            <w:tcW w:w="5210" w:type="dxa"/>
            <w:shd w:val="clear" w:color="auto" w:fill="auto"/>
          </w:tcPr>
          <w:p w14:paraId="6BCD725A" w14:textId="0AD678FA" w:rsidR="0091007C" w:rsidRPr="00663DF5" w:rsidRDefault="004C2023" w:rsidP="00BC2C7B">
            <w:r>
              <w:t>Etape</w:t>
            </w:r>
          </w:p>
        </w:tc>
        <w:tc>
          <w:tcPr>
            <w:tcW w:w="3525" w:type="dxa"/>
            <w:shd w:val="clear" w:color="auto" w:fill="auto"/>
          </w:tcPr>
          <w:p w14:paraId="43A8D7C3" w14:textId="77777777" w:rsidR="0091007C" w:rsidRPr="00663DF5" w:rsidRDefault="0091007C" w:rsidP="00BC2C7B">
            <w:r w:rsidRPr="00663DF5">
              <w:t>Délai de soumission</w:t>
            </w:r>
          </w:p>
        </w:tc>
      </w:tr>
      <w:tr w:rsidR="004710E3" w:rsidRPr="00663DF5" w14:paraId="7306EE98" w14:textId="77777777" w:rsidTr="00F15CA6">
        <w:tc>
          <w:tcPr>
            <w:tcW w:w="464" w:type="dxa"/>
            <w:shd w:val="clear" w:color="auto" w:fill="92D050"/>
          </w:tcPr>
          <w:p w14:paraId="67F6F76A" w14:textId="15E7673F" w:rsidR="00983528" w:rsidRPr="00663DF5" w:rsidRDefault="00983528" w:rsidP="00983528">
            <w:r w:rsidRPr="00663DF5">
              <w:t>1</w:t>
            </w:r>
          </w:p>
        </w:tc>
        <w:tc>
          <w:tcPr>
            <w:tcW w:w="5210" w:type="dxa"/>
            <w:shd w:val="clear" w:color="auto" w:fill="92D050"/>
          </w:tcPr>
          <w:p w14:paraId="087E8F07" w14:textId="77777777" w:rsidR="00983528" w:rsidRPr="004A1DDC" w:rsidRDefault="00983528" w:rsidP="00983528">
            <w:pPr>
              <w:rPr>
                <w:b/>
                <w:bCs/>
              </w:rPr>
            </w:pPr>
            <w:r w:rsidRPr="004A1DDC">
              <w:rPr>
                <w:b/>
                <w:bCs/>
              </w:rPr>
              <w:t>Note de cadrage</w:t>
            </w:r>
          </w:p>
        </w:tc>
        <w:tc>
          <w:tcPr>
            <w:tcW w:w="3525" w:type="dxa"/>
            <w:shd w:val="clear" w:color="auto" w:fill="92D050"/>
          </w:tcPr>
          <w:p w14:paraId="7A41BA22" w14:textId="08CAF6CB" w:rsidR="00983528" w:rsidRPr="00663DF5" w:rsidRDefault="00983528" w:rsidP="00983528">
            <w:r>
              <w:t xml:space="preserve">T0 + </w:t>
            </w:r>
            <w:r w:rsidR="00F15CA6">
              <w:t>1</w:t>
            </w:r>
            <w:r w:rsidR="00842D38">
              <w:t xml:space="preserve"> </w:t>
            </w:r>
            <w:r>
              <w:t>mois</w:t>
            </w:r>
          </w:p>
        </w:tc>
      </w:tr>
      <w:tr w:rsidR="004710E3" w:rsidRPr="00663DF5" w14:paraId="514D4C21" w14:textId="77777777" w:rsidTr="00F15CA6">
        <w:tc>
          <w:tcPr>
            <w:tcW w:w="464" w:type="dxa"/>
            <w:shd w:val="clear" w:color="auto" w:fill="auto"/>
          </w:tcPr>
          <w:p w14:paraId="3FE891B2" w14:textId="75CAE2BC" w:rsidR="00814FBA" w:rsidRDefault="00814FBA" w:rsidP="00983528"/>
        </w:tc>
        <w:tc>
          <w:tcPr>
            <w:tcW w:w="5210" w:type="dxa"/>
            <w:shd w:val="clear" w:color="auto" w:fill="auto"/>
          </w:tcPr>
          <w:p w14:paraId="582A2EB5" w14:textId="551F6F81" w:rsidR="00814FBA" w:rsidRPr="00BD4D74" w:rsidRDefault="00814FBA" w:rsidP="00983528">
            <w:r>
              <w:t>Copil interne et groupe de référence externe sur la note de cadrage</w:t>
            </w:r>
          </w:p>
        </w:tc>
        <w:tc>
          <w:tcPr>
            <w:tcW w:w="3525" w:type="dxa"/>
            <w:shd w:val="clear" w:color="auto" w:fill="auto"/>
          </w:tcPr>
          <w:p w14:paraId="654EB5CF" w14:textId="211ADF43" w:rsidR="00814FBA" w:rsidRDefault="00814FBA" w:rsidP="00983528">
            <w:r>
              <w:t>T0+</w:t>
            </w:r>
            <w:r w:rsidR="00842D38">
              <w:t>1.5 mois</w:t>
            </w:r>
          </w:p>
        </w:tc>
      </w:tr>
      <w:tr w:rsidR="004710E3" w:rsidRPr="00663DF5" w14:paraId="6C0B3A00" w14:textId="77777777" w:rsidTr="00F15CA6">
        <w:tc>
          <w:tcPr>
            <w:tcW w:w="464" w:type="dxa"/>
            <w:shd w:val="clear" w:color="auto" w:fill="auto"/>
          </w:tcPr>
          <w:p w14:paraId="2E9EB9C7" w14:textId="1EF3D280" w:rsidR="00983528" w:rsidRPr="00663DF5" w:rsidRDefault="004C2023" w:rsidP="00983528">
            <w:r>
              <w:t>2</w:t>
            </w:r>
          </w:p>
        </w:tc>
        <w:tc>
          <w:tcPr>
            <w:tcW w:w="5210" w:type="dxa"/>
            <w:shd w:val="clear" w:color="auto" w:fill="92D050"/>
          </w:tcPr>
          <w:p w14:paraId="1A49D66B" w14:textId="0ADF4515" w:rsidR="00983528" w:rsidRPr="00663DF5" w:rsidRDefault="00983528" w:rsidP="00983528">
            <w:r w:rsidRPr="00BD4D74">
              <w:t xml:space="preserve">Un </w:t>
            </w:r>
            <w:r w:rsidRPr="00BD4D74">
              <w:rPr>
                <w:b/>
                <w:bCs/>
              </w:rPr>
              <w:t>rapport provisoire</w:t>
            </w:r>
            <w:r w:rsidRPr="00BD4D74">
              <w:t xml:space="preserve"> de l’évaluation </w:t>
            </w:r>
            <w:r>
              <w:t>de la logique d’intervention et de la gouvernance du programme</w:t>
            </w:r>
            <w:r w:rsidRPr="00BD4D74">
              <w:t xml:space="preserve"> (</w:t>
            </w:r>
            <w:r>
              <w:t>5</w:t>
            </w:r>
            <w:r w:rsidRPr="00BD4D74">
              <w:t>0 pages max., hors annexes)</w:t>
            </w:r>
          </w:p>
        </w:tc>
        <w:tc>
          <w:tcPr>
            <w:tcW w:w="3525" w:type="dxa"/>
            <w:shd w:val="clear" w:color="auto" w:fill="92D050"/>
          </w:tcPr>
          <w:p w14:paraId="1DB39985" w14:textId="3269DC2B" w:rsidR="00983528" w:rsidRPr="00663DF5" w:rsidRDefault="00983528" w:rsidP="00983528">
            <w:r>
              <w:t xml:space="preserve">T0 + </w:t>
            </w:r>
            <w:r w:rsidR="00567EF9">
              <w:t>3,5</w:t>
            </w:r>
            <w:r>
              <w:t xml:space="preserve"> mois</w:t>
            </w:r>
          </w:p>
        </w:tc>
      </w:tr>
      <w:tr w:rsidR="004710E3" w:rsidRPr="00663DF5" w14:paraId="035D46FB" w14:textId="77777777" w:rsidTr="00F15CA6">
        <w:tc>
          <w:tcPr>
            <w:tcW w:w="464" w:type="dxa"/>
            <w:shd w:val="clear" w:color="auto" w:fill="auto"/>
          </w:tcPr>
          <w:p w14:paraId="3A1C7F29" w14:textId="2230378A" w:rsidR="00814FBA" w:rsidRDefault="00814FBA" w:rsidP="00983528"/>
        </w:tc>
        <w:tc>
          <w:tcPr>
            <w:tcW w:w="5210" w:type="dxa"/>
            <w:shd w:val="clear" w:color="auto" w:fill="auto"/>
          </w:tcPr>
          <w:p w14:paraId="72472999" w14:textId="3C6376C3" w:rsidR="00814FBA" w:rsidRPr="00BD4D74" w:rsidRDefault="004710E3" w:rsidP="00983528">
            <w:r>
              <w:t>Copil puis GR externe pour amender le rapport provisoire sur phase 1</w:t>
            </w:r>
          </w:p>
        </w:tc>
        <w:tc>
          <w:tcPr>
            <w:tcW w:w="3525" w:type="dxa"/>
            <w:shd w:val="clear" w:color="auto" w:fill="auto"/>
          </w:tcPr>
          <w:p w14:paraId="2F13CD64" w14:textId="2ECF5B69" w:rsidR="00814FBA" w:rsidRDefault="004710E3" w:rsidP="00983528">
            <w:r>
              <w:t>T0+</w:t>
            </w:r>
            <w:r w:rsidR="00567EF9">
              <w:t xml:space="preserve"> </w:t>
            </w:r>
            <w:r>
              <w:t>4 mois</w:t>
            </w:r>
          </w:p>
        </w:tc>
      </w:tr>
      <w:tr w:rsidR="004710E3" w:rsidRPr="00663DF5" w14:paraId="73B25657" w14:textId="77777777" w:rsidTr="00F15CA6">
        <w:tc>
          <w:tcPr>
            <w:tcW w:w="464" w:type="dxa"/>
            <w:shd w:val="clear" w:color="auto" w:fill="auto"/>
          </w:tcPr>
          <w:p w14:paraId="6FE782FD" w14:textId="63F2A069" w:rsidR="003B12F2" w:rsidRPr="00663DF5" w:rsidRDefault="004C2023" w:rsidP="003B12F2">
            <w:r>
              <w:t>3</w:t>
            </w:r>
          </w:p>
        </w:tc>
        <w:tc>
          <w:tcPr>
            <w:tcW w:w="5210" w:type="dxa"/>
            <w:shd w:val="clear" w:color="auto" w:fill="92D050"/>
          </w:tcPr>
          <w:p w14:paraId="750C8843" w14:textId="77777777" w:rsidR="003B12F2" w:rsidRDefault="003B12F2" w:rsidP="003B12F2">
            <w:r w:rsidRPr="004A1DDC">
              <w:rPr>
                <w:b/>
                <w:bCs/>
              </w:rPr>
              <w:t>Rapport de revue globale</w:t>
            </w:r>
            <w:r w:rsidRPr="0091007C">
              <w:t xml:space="preserve"> du portefeuille AdaptAction</w:t>
            </w:r>
          </w:p>
          <w:p w14:paraId="1F992490" w14:textId="77777777" w:rsidR="003B12F2" w:rsidRDefault="003B12F2" w:rsidP="003B12F2"/>
        </w:tc>
        <w:tc>
          <w:tcPr>
            <w:tcW w:w="3525" w:type="dxa"/>
            <w:shd w:val="clear" w:color="auto" w:fill="92D050"/>
          </w:tcPr>
          <w:p w14:paraId="511C7D81" w14:textId="22F9CD55" w:rsidR="003B12F2" w:rsidRDefault="003B12F2" w:rsidP="003B12F2">
            <w:r>
              <w:t xml:space="preserve">T0 + </w:t>
            </w:r>
            <w:r w:rsidR="00567EF9">
              <w:t>4,5</w:t>
            </w:r>
            <w:r>
              <w:t xml:space="preserve"> mois</w:t>
            </w:r>
          </w:p>
        </w:tc>
      </w:tr>
      <w:tr w:rsidR="004710E3" w:rsidRPr="00663DF5" w14:paraId="1D5B1AF9" w14:textId="77777777" w:rsidTr="00F15CA6">
        <w:tc>
          <w:tcPr>
            <w:tcW w:w="464" w:type="dxa"/>
            <w:shd w:val="clear" w:color="auto" w:fill="auto"/>
          </w:tcPr>
          <w:p w14:paraId="19E21297" w14:textId="3062E767" w:rsidR="00983528" w:rsidRPr="00663DF5" w:rsidRDefault="004C2023" w:rsidP="00983528">
            <w:r>
              <w:t>4</w:t>
            </w:r>
          </w:p>
        </w:tc>
        <w:tc>
          <w:tcPr>
            <w:tcW w:w="5210" w:type="dxa"/>
            <w:shd w:val="clear" w:color="auto" w:fill="92D050"/>
          </w:tcPr>
          <w:p w14:paraId="10EFE454" w14:textId="1EBA310D" w:rsidR="00983528" w:rsidRDefault="00842D38" w:rsidP="004C2023">
            <w:r>
              <w:t>CR mission pays</w:t>
            </w:r>
            <w:r w:rsidR="007553A8">
              <w:t xml:space="preserve"> </w:t>
            </w:r>
          </w:p>
        </w:tc>
        <w:tc>
          <w:tcPr>
            <w:tcW w:w="3525" w:type="dxa"/>
            <w:shd w:val="clear" w:color="auto" w:fill="92D050"/>
          </w:tcPr>
          <w:p w14:paraId="5E172A34" w14:textId="02B2860D" w:rsidR="00983528" w:rsidRDefault="00983528" w:rsidP="00983528">
            <w:r>
              <w:t>T0 + 7 mois</w:t>
            </w:r>
          </w:p>
        </w:tc>
      </w:tr>
      <w:tr w:rsidR="004710E3" w:rsidRPr="00663DF5" w14:paraId="21CA3ECF" w14:textId="77777777" w:rsidTr="00F15CA6">
        <w:tc>
          <w:tcPr>
            <w:tcW w:w="464" w:type="dxa"/>
            <w:shd w:val="clear" w:color="auto" w:fill="auto"/>
          </w:tcPr>
          <w:p w14:paraId="5938FFFB" w14:textId="67F87345" w:rsidR="004710E3" w:rsidRDefault="004710E3" w:rsidP="00983528"/>
        </w:tc>
        <w:tc>
          <w:tcPr>
            <w:tcW w:w="5210" w:type="dxa"/>
            <w:shd w:val="clear" w:color="auto" w:fill="auto"/>
          </w:tcPr>
          <w:p w14:paraId="7AC11B25" w14:textId="63C5EFF1" w:rsidR="004710E3" w:rsidRDefault="004710E3" w:rsidP="00983528">
            <w:r>
              <w:t>Copil et GR autour de la co-construction des recommandations</w:t>
            </w:r>
          </w:p>
        </w:tc>
        <w:tc>
          <w:tcPr>
            <w:tcW w:w="3525" w:type="dxa"/>
            <w:shd w:val="clear" w:color="auto" w:fill="auto"/>
          </w:tcPr>
          <w:p w14:paraId="5D3B47E9" w14:textId="0DE41BB2" w:rsidR="004710E3" w:rsidRDefault="004710E3" w:rsidP="00983528">
            <w:r>
              <w:t>T0+8 mois</w:t>
            </w:r>
          </w:p>
        </w:tc>
      </w:tr>
      <w:tr w:rsidR="004710E3" w:rsidRPr="00663DF5" w14:paraId="1F2A1EFD" w14:textId="77777777" w:rsidTr="00F15CA6">
        <w:tc>
          <w:tcPr>
            <w:tcW w:w="464" w:type="dxa"/>
            <w:shd w:val="clear" w:color="auto" w:fill="auto"/>
          </w:tcPr>
          <w:p w14:paraId="0022EAD2" w14:textId="416B1D12" w:rsidR="00983528" w:rsidRPr="00663DF5" w:rsidRDefault="004C2023" w:rsidP="00983528">
            <w:r>
              <w:t>5</w:t>
            </w:r>
          </w:p>
        </w:tc>
        <w:tc>
          <w:tcPr>
            <w:tcW w:w="5210" w:type="dxa"/>
            <w:shd w:val="clear" w:color="auto" w:fill="92D050"/>
          </w:tcPr>
          <w:p w14:paraId="5697181C" w14:textId="17732C3B" w:rsidR="00983528" w:rsidRDefault="00983528" w:rsidP="00983528">
            <w:r w:rsidRPr="003C19F0">
              <w:t xml:space="preserve">Un </w:t>
            </w:r>
            <w:r w:rsidRPr="003C19F0">
              <w:rPr>
                <w:b/>
                <w:bCs/>
              </w:rPr>
              <w:t>rapport final consolidé</w:t>
            </w:r>
            <w:r w:rsidR="007C22F3">
              <w:rPr>
                <w:b/>
                <w:bCs/>
              </w:rPr>
              <w:t xml:space="preserve"> provisoire</w:t>
            </w:r>
            <w:r w:rsidRPr="003C19F0">
              <w:t xml:space="preserve"> (60 pages max., hors annexes) intégrant l’ensemble des analyses ;</w:t>
            </w:r>
          </w:p>
        </w:tc>
        <w:tc>
          <w:tcPr>
            <w:tcW w:w="3525" w:type="dxa"/>
            <w:shd w:val="clear" w:color="auto" w:fill="92D050"/>
          </w:tcPr>
          <w:p w14:paraId="7D84CF40" w14:textId="2B6C4D32" w:rsidR="00983528" w:rsidRDefault="00983528" w:rsidP="00983528">
            <w:r>
              <w:t xml:space="preserve">T0 + </w:t>
            </w:r>
            <w:r w:rsidR="00F15CA6">
              <w:t xml:space="preserve">8,5 </w:t>
            </w:r>
            <w:r>
              <w:t>mois</w:t>
            </w:r>
          </w:p>
        </w:tc>
      </w:tr>
      <w:tr w:rsidR="004710E3" w:rsidRPr="00663DF5" w14:paraId="5BD0AB22" w14:textId="77777777" w:rsidTr="00F15CA6">
        <w:tc>
          <w:tcPr>
            <w:tcW w:w="464" w:type="dxa"/>
            <w:shd w:val="clear" w:color="auto" w:fill="auto"/>
          </w:tcPr>
          <w:p w14:paraId="4D954895" w14:textId="525CA3CC" w:rsidR="00983528" w:rsidRPr="00663DF5" w:rsidRDefault="004C2023" w:rsidP="00983528">
            <w:r>
              <w:t>6</w:t>
            </w:r>
          </w:p>
        </w:tc>
        <w:tc>
          <w:tcPr>
            <w:tcW w:w="5210" w:type="dxa"/>
            <w:shd w:val="clear" w:color="auto" w:fill="92D050"/>
          </w:tcPr>
          <w:p w14:paraId="730E6CE5" w14:textId="1EA27159" w:rsidR="00983528" w:rsidRDefault="00F15CA6" w:rsidP="00983528">
            <w:r>
              <w:rPr>
                <w:b/>
                <w:bCs/>
              </w:rPr>
              <w:t>S</w:t>
            </w:r>
            <w:r w:rsidR="00983528" w:rsidRPr="003C19F0">
              <w:rPr>
                <w:b/>
                <w:bCs/>
              </w:rPr>
              <w:t>ynthèse de l’évaluation</w:t>
            </w:r>
            <w:r w:rsidR="00983528" w:rsidRPr="003C19F0">
              <w:t xml:space="preserve"> (≤ 30 pages) (4 pages FR/EN) ainsi qu’un </w:t>
            </w:r>
            <w:r w:rsidR="00983528" w:rsidRPr="003C19F0">
              <w:rPr>
                <w:b/>
                <w:bCs/>
              </w:rPr>
              <w:t>support de présentation</w:t>
            </w:r>
            <w:r w:rsidR="00983528" w:rsidRPr="003C19F0">
              <w:t xml:space="preserve"> (PowerPoint) pour les restitutions</w:t>
            </w:r>
          </w:p>
        </w:tc>
        <w:tc>
          <w:tcPr>
            <w:tcW w:w="3525" w:type="dxa"/>
            <w:shd w:val="clear" w:color="auto" w:fill="92D050"/>
          </w:tcPr>
          <w:p w14:paraId="0B747532" w14:textId="4704B7B4" w:rsidR="00983528" w:rsidRDefault="00983528" w:rsidP="00983528">
            <w:r>
              <w:t xml:space="preserve">T0 + </w:t>
            </w:r>
            <w:r w:rsidR="003C1D07">
              <w:t>10</w:t>
            </w:r>
            <w:r>
              <w:t xml:space="preserve"> mois</w:t>
            </w:r>
          </w:p>
        </w:tc>
      </w:tr>
    </w:tbl>
    <w:p w14:paraId="4E74556A" w14:textId="77777777" w:rsidR="00AB1ECD" w:rsidRPr="002C50D8" w:rsidRDefault="00AB1ECD">
      <w:pPr>
        <w:spacing w:before="120" w:after="120"/>
      </w:pPr>
    </w:p>
    <w:p w14:paraId="48ACB03B" w14:textId="77777777" w:rsidR="00A61543" w:rsidRPr="002C50D8" w:rsidRDefault="007F1F62" w:rsidP="00BA25AF">
      <w:pPr>
        <w:pStyle w:val="Titre2"/>
        <w:numPr>
          <w:ilvl w:val="1"/>
          <w:numId w:val="5"/>
        </w:numPr>
      </w:pPr>
      <w:bookmarkStart w:id="59" w:name="_cu1vemphpkkr" w:colFirst="0" w:colLast="0"/>
      <w:bookmarkStart w:id="60" w:name="_Toc211411330"/>
      <w:bookmarkEnd w:id="59"/>
      <w:r w:rsidRPr="002C50D8">
        <w:t>Etendue des services</w:t>
      </w:r>
      <w:bookmarkEnd w:id="60"/>
      <w:r w:rsidRPr="002C50D8">
        <w:t xml:space="preserve"> </w:t>
      </w:r>
    </w:p>
    <w:p w14:paraId="23F1AEFD" w14:textId="45532735" w:rsidR="00A61543" w:rsidRPr="002C50D8" w:rsidRDefault="007F1F62">
      <w:pPr>
        <w:spacing w:before="120" w:after="120"/>
      </w:pPr>
      <w:r w:rsidRPr="002C50D8">
        <w:t xml:space="preserve">Le budget total pour la réalisation de la mission </w:t>
      </w:r>
      <w:r w:rsidR="00132489" w:rsidRPr="002C50D8">
        <w:t xml:space="preserve">intégrant honoraires des consultants et la logistique pour l’organisation des ateliers est </w:t>
      </w:r>
      <w:r w:rsidR="006745E2">
        <w:t>de 1</w:t>
      </w:r>
      <w:r w:rsidR="00F15CA6">
        <w:t>6</w:t>
      </w:r>
      <w:r w:rsidR="006745E2">
        <w:t>0 000€.</w:t>
      </w:r>
    </w:p>
    <w:p w14:paraId="09D2D470" w14:textId="3AC27E35" w:rsidR="00A61543" w:rsidRPr="002C50D8" w:rsidRDefault="007F1F62">
      <w:r w:rsidRPr="002C50D8">
        <w:t>Le nombre de jours d’expertise proposé (dont le nombre de jours sur le terrain), sa cohérence avec la méthodologie proposée et le chronogramme d’intervention des différents experts figureront parmi les critères clés qui seront retenus pour le dépouillement des offres techniques des bureau d’étude/cabinet soumissionnaires.</w:t>
      </w:r>
    </w:p>
    <w:p w14:paraId="52709D88" w14:textId="77777777" w:rsidR="00492525" w:rsidRPr="002C50D8" w:rsidRDefault="00492525"/>
    <w:p w14:paraId="782C8CD3" w14:textId="77777777" w:rsidR="00A61543" w:rsidRPr="002C50D8" w:rsidRDefault="007F1F62" w:rsidP="00BA25AF">
      <w:pPr>
        <w:pStyle w:val="Titre1"/>
        <w:numPr>
          <w:ilvl w:val="0"/>
          <w:numId w:val="9"/>
        </w:numPr>
        <w:rPr>
          <w:rFonts w:ascii="Roboto" w:hAnsi="Roboto"/>
        </w:rPr>
      </w:pPr>
      <w:bookmarkStart w:id="61" w:name="_6flq5u4xo9rj" w:colFirst="0" w:colLast="0"/>
      <w:bookmarkStart w:id="62" w:name="_Toc211411331"/>
      <w:bookmarkEnd w:id="61"/>
      <w:r w:rsidRPr="002C50D8">
        <w:rPr>
          <w:rFonts w:ascii="Roboto" w:hAnsi="Roboto"/>
          <w:b/>
        </w:rPr>
        <w:t>LANGUE DE TRAVAIL</w:t>
      </w:r>
      <w:bookmarkEnd w:id="62"/>
      <w:r w:rsidRPr="002C50D8">
        <w:rPr>
          <w:rFonts w:ascii="Roboto" w:hAnsi="Roboto"/>
          <w:b/>
        </w:rPr>
        <w:t xml:space="preserve"> </w:t>
      </w:r>
    </w:p>
    <w:p w14:paraId="60236712" w14:textId="6EF4EEE4" w:rsidR="00A61543" w:rsidRPr="002C50D8" w:rsidRDefault="007F1F62">
      <w:pPr>
        <w:spacing w:before="120" w:after="120"/>
        <w:rPr>
          <w:i/>
        </w:rPr>
      </w:pPr>
      <w:r w:rsidRPr="002C50D8">
        <w:t>La langue des documents contractuels et de mise en œuvre de la présente prestation sera la</w:t>
      </w:r>
      <w:r w:rsidRPr="002C50D8">
        <w:rPr>
          <w:b/>
        </w:rPr>
        <w:t xml:space="preserve"> </w:t>
      </w:r>
      <w:r w:rsidRPr="002C50D8">
        <w:t>langue française.</w:t>
      </w:r>
      <w:r w:rsidRPr="002C50D8">
        <w:rPr>
          <w:b/>
        </w:rPr>
        <w:t xml:space="preserve"> </w:t>
      </w:r>
      <w:r w:rsidRPr="002C50D8">
        <w:t>La maîtrise de la langue française par l’équipe d’experts proposée par le prestataire est donc impérative. Tous les livrables seront à remettre en français</w:t>
      </w:r>
      <w:r w:rsidR="00BA25AF">
        <w:t xml:space="preserve"> exceptés la synthèse de l’évaluation qui sera également en anglais.</w:t>
      </w:r>
    </w:p>
    <w:p w14:paraId="49361772" w14:textId="77777777" w:rsidR="00A61543" w:rsidRPr="002C50D8" w:rsidRDefault="007F1F62" w:rsidP="00BA25AF">
      <w:pPr>
        <w:pStyle w:val="Titre1"/>
        <w:numPr>
          <w:ilvl w:val="0"/>
          <w:numId w:val="9"/>
        </w:numPr>
        <w:rPr>
          <w:rFonts w:ascii="Roboto" w:hAnsi="Roboto"/>
        </w:rPr>
      </w:pPr>
      <w:bookmarkStart w:id="63" w:name="_bvabrx3csmx4" w:colFirst="0" w:colLast="0"/>
      <w:bookmarkStart w:id="64" w:name="_Toc211411332"/>
      <w:bookmarkEnd w:id="63"/>
      <w:r w:rsidRPr="002C50D8">
        <w:rPr>
          <w:rFonts w:ascii="Roboto" w:hAnsi="Roboto"/>
          <w:b/>
        </w:rPr>
        <w:t>BUDGET ET MODALITES DE PAIEMENT</w:t>
      </w:r>
      <w:bookmarkEnd w:id="64"/>
    </w:p>
    <w:p w14:paraId="3B2E5E8F" w14:textId="77777777" w:rsidR="00A61543" w:rsidRPr="002C50D8" w:rsidRDefault="00A61543">
      <w:pPr>
        <w:rPr>
          <w:rFonts w:eastAsia="Calibri" w:cs="Calibri"/>
        </w:rPr>
      </w:pPr>
    </w:p>
    <w:p w14:paraId="7CEE6E3C" w14:textId="77777777" w:rsidR="00A61543" w:rsidRPr="002C50D8" w:rsidRDefault="007F1F62" w:rsidP="00BA25AF">
      <w:pPr>
        <w:pStyle w:val="Titre2"/>
        <w:numPr>
          <w:ilvl w:val="1"/>
          <w:numId w:val="6"/>
        </w:numPr>
      </w:pPr>
      <w:bookmarkStart w:id="65" w:name="_mgiul96z8j39" w:colFirst="0" w:colLast="0"/>
      <w:bookmarkStart w:id="66" w:name="_Toc211411333"/>
      <w:bookmarkEnd w:id="65"/>
      <w:r w:rsidRPr="002C50D8">
        <w:t>Offre financière</w:t>
      </w:r>
      <w:bookmarkEnd w:id="66"/>
    </w:p>
    <w:p w14:paraId="6207EF47" w14:textId="36F3DB6A" w:rsidR="00A61543" w:rsidRPr="00B108C7" w:rsidRDefault="007F1F62">
      <w:pPr>
        <w:spacing w:before="120"/>
      </w:pPr>
      <w:r w:rsidRPr="00B108C7">
        <w:t>Le soumissionnaire est invité à proposer son offre financière, sur la base des éléments indiqués dans le présent CCTP. Le</w:t>
      </w:r>
      <w:r w:rsidR="004A1DDC">
        <w:t xml:space="preserve"> montant</w:t>
      </w:r>
      <w:r w:rsidRPr="00B108C7">
        <w:t xml:space="preserve"> </w:t>
      </w:r>
      <w:r w:rsidR="004A1DDC">
        <w:t xml:space="preserve">de l’offre </w:t>
      </w:r>
      <w:r w:rsidRPr="00B108C7">
        <w:t>doit être précisé dans</w:t>
      </w:r>
      <w:r w:rsidR="006745E2" w:rsidRPr="00B108C7">
        <w:t xml:space="preserve"> la </w:t>
      </w:r>
      <w:r w:rsidRPr="00B108C7">
        <w:t>D</w:t>
      </w:r>
      <w:r w:rsidR="004A1DDC">
        <w:t>écomposition du Prix Global et forfaitaire (D</w:t>
      </w:r>
      <w:r w:rsidRPr="00B108C7">
        <w:t>PGF</w:t>
      </w:r>
      <w:r w:rsidR="004A1DDC">
        <w:t>)</w:t>
      </w:r>
      <w:r w:rsidRPr="00B108C7">
        <w:t>.</w:t>
      </w:r>
    </w:p>
    <w:p w14:paraId="2AA86012" w14:textId="2A94C841" w:rsidR="006004FD" w:rsidRPr="00B108C7" w:rsidRDefault="006004FD" w:rsidP="00C72E30">
      <w:pPr>
        <w:spacing w:before="120" w:after="120"/>
      </w:pPr>
      <w:r w:rsidRPr="00B108C7">
        <w:t xml:space="preserve">Le budget de </w:t>
      </w:r>
      <w:r w:rsidR="007D3678" w:rsidRPr="00B108C7">
        <w:t>1</w:t>
      </w:r>
      <w:r w:rsidR="00F15CA6">
        <w:t>6</w:t>
      </w:r>
      <w:r w:rsidRPr="00B108C7">
        <w:t xml:space="preserve">0 000 EUR est destiné à couvrir l’ensemble des coûts de la mission, y compris les honoraires des experts, les frais de voyage (local et international) et de séjour et les coûts de visibilité et de communication. </w:t>
      </w:r>
    </w:p>
    <w:p w14:paraId="2B0CDD61" w14:textId="77777777" w:rsidR="006004FD" w:rsidRPr="00B108C7" w:rsidRDefault="006004FD" w:rsidP="006004FD">
      <w:r w:rsidRPr="00B108C7">
        <w:t xml:space="preserve">Les frais liés à l’organisation d’ateliers seront également couverts par le budget du Consultant. Le nombre exact d’ateliers et de participants sera proposé par le soumissionnaire dans son offre. Ces frais liés aux ateliers seront détaillés dans des lignes distinctes par atelier dans la DPGF. Les coûts du personnel d’appui et la participation aux réunions de lancement et de </w:t>
      </w:r>
      <w:r w:rsidRPr="00B108C7">
        <w:lastRenderedPageBreak/>
        <w:t>restitution du Chef de projet du soumissionnaire seront couverts par les honoraires des experts proposés.</w:t>
      </w:r>
    </w:p>
    <w:p w14:paraId="38188FF9" w14:textId="77777777" w:rsidR="00A61543" w:rsidRPr="002C50D8" w:rsidRDefault="00A61543">
      <w:pPr>
        <w:jc w:val="center"/>
        <w:rPr>
          <w:rFonts w:eastAsia="Calibri" w:cs="Calibri"/>
        </w:rPr>
      </w:pPr>
      <w:bookmarkStart w:id="67" w:name="_35da8qrair4k" w:colFirst="0" w:colLast="0"/>
      <w:bookmarkEnd w:id="67"/>
    </w:p>
    <w:p w14:paraId="1C99C4EC" w14:textId="77777777" w:rsidR="00A61543" w:rsidRPr="002C50D8" w:rsidRDefault="007F1F62" w:rsidP="00BA25AF">
      <w:pPr>
        <w:pStyle w:val="Titre1"/>
        <w:numPr>
          <w:ilvl w:val="0"/>
          <w:numId w:val="9"/>
        </w:numPr>
        <w:rPr>
          <w:rFonts w:ascii="Roboto" w:hAnsi="Roboto"/>
        </w:rPr>
      </w:pPr>
      <w:bookmarkStart w:id="68" w:name="_qorm7l3bakx9" w:colFirst="0" w:colLast="0"/>
      <w:bookmarkStart w:id="69" w:name="_3d7kr52a0y49" w:colFirst="0" w:colLast="0"/>
      <w:bookmarkStart w:id="70" w:name="_Toc210147589"/>
      <w:bookmarkStart w:id="71" w:name="_Toc210147590"/>
      <w:bookmarkStart w:id="72" w:name="_1bd0o2q2akf" w:colFirst="0" w:colLast="0"/>
      <w:bookmarkStart w:id="73" w:name="_Toc210147591"/>
      <w:bookmarkStart w:id="74" w:name="_Toc210147592"/>
      <w:bookmarkStart w:id="75" w:name="_dh56j861d1m7" w:colFirst="0" w:colLast="0"/>
      <w:bookmarkStart w:id="76" w:name="_252bg9xmtqvq" w:colFirst="0" w:colLast="0"/>
      <w:bookmarkStart w:id="77" w:name="_Toc211411334"/>
      <w:bookmarkEnd w:id="68"/>
      <w:bookmarkEnd w:id="69"/>
      <w:bookmarkEnd w:id="70"/>
      <w:bookmarkEnd w:id="71"/>
      <w:bookmarkEnd w:id="72"/>
      <w:bookmarkEnd w:id="73"/>
      <w:bookmarkEnd w:id="74"/>
      <w:bookmarkEnd w:id="75"/>
      <w:bookmarkEnd w:id="76"/>
      <w:r w:rsidRPr="002C50D8">
        <w:rPr>
          <w:rFonts w:ascii="Roboto" w:hAnsi="Roboto"/>
          <w:b/>
        </w:rPr>
        <w:t>ANNEXES</w:t>
      </w:r>
      <w:bookmarkEnd w:id="77"/>
      <w:r w:rsidRPr="002C50D8">
        <w:rPr>
          <w:rFonts w:ascii="Roboto" w:hAnsi="Roboto"/>
          <w:b/>
        </w:rPr>
        <w:t xml:space="preserve"> </w:t>
      </w:r>
    </w:p>
    <w:p w14:paraId="56E2DA76" w14:textId="219B16B1" w:rsidR="00A61543" w:rsidRDefault="00A61543"/>
    <w:p w14:paraId="43CF26E8" w14:textId="28A5D211" w:rsidR="002E4B5E" w:rsidRDefault="00FD55EE">
      <w:r w:rsidRPr="00FD55EE">
        <w:t>Les documents et ressources ci-dessous sont mis à disposition des consultants afin de faciliter la compréhension du programme AdaptAction, de son historique, de ses résultats et de ses enseignements tirés au cours des différentes phases. Ces annexes constituent un socle de référence pour la préparation méthodologique et l’analyse documentaire de l’évaluation.</w:t>
      </w:r>
    </w:p>
    <w:p w14:paraId="628A63CF" w14:textId="77777777" w:rsidR="00FD55EE" w:rsidRDefault="00FD55EE"/>
    <w:p w14:paraId="37F9AAFE" w14:textId="1516A11D" w:rsidR="00FD55EE" w:rsidRDefault="00FD55EE" w:rsidP="007C4E62">
      <w:pPr>
        <w:pStyle w:val="Paragraphedeliste"/>
        <w:numPr>
          <w:ilvl w:val="0"/>
          <w:numId w:val="58"/>
        </w:numPr>
      </w:pPr>
      <w:r>
        <w:t>Annexe 1 : Présentation du programme AdaptAction (2022) : Présentation synthétique du dispositif (objectifs, axes d’intervention, pays partenaires, gouvernance, partenariats et volume financier).</w:t>
      </w:r>
    </w:p>
    <w:p w14:paraId="0021A11A" w14:textId="77777777" w:rsidR="00FD55EE" w:rsidRDefault="00FD55EE" w:rsidP="00FD55EE"/>
    <w:p w14:paraId="748A4AB7" w14:textId="14E2AE97" w:rsidR="00FD55EE" w:rsidRDefault="00FD55EE" w:rsidP="007C4E62">
      <w:pPr>
        <w:pStyle w:val="Paragraphedeliste"/>
        <w:numPr>
          <w:ilvl w:val="0"/>
          <w:numId w:val="58"/>
        </w:numPr>
      </w:pPr>
      <w:r>
        <w:t>Annexe 2 : Synthèse de capitalisation – Policy Brief (2022) : Bilan de la première phase (2017-2022), principaux résultats, effets de levier financiers et leçons apprises sur la gouvernance climat.</w:t>
      </w:r>
    </w:p>
    <w:p w14:paraId="786140BE" w14:textId="77777777" w:rsidR="00FD55EE" w:rsidRDefault="00FD55EE" w:rsidP="00FD55EE"/>
    <w:p w14:paraId="31BD778F" w14:textId="45AE4DC5" w:rsidR="00FD55EE" w:rsidRDefault="00FD55EE" w:rsidP="007C4E62">
      <w:pPr>
        <w:pStyle w:val="Paragraphedeliste"/>
        <w:numPr>
          <w:ilvl w:val="0"/>
          <w:numId w:val="58"/>
        </w:numPr>
      </w:pPr>
      <w:r>
        <w:t>Annexe 3 : Fiches de capitalisation thématiques (2021) : Études de cas et retours d’expérience sur la gouvernance climat, les solutions fondées sur la nature et la gestion intégrée des ressources en eau.</w:t>
      </w:r>
    </w:p>
    <w:p w14:paraId="4CA08110" w14:textId="77777777" w:rsidR="00FD55EE" w:rsidRDefault="00FD55EE" w:rsidP="00FD55EE"/>
    <w:p w14:paraId="1ECCDBFE" w14:textId="49C2EEB1" w:rsidR="00FD55EE" w:rsidRDefault="00FD55EE" w:rsidP="00FD55EE">
      <w:pPr>
        <w:pStyle w:val="Paragraphedeliste"/>
        <w:numPr>
          <w:ilvl w:val="0"/>
          <w:numId w:val="58"/>
        </w:numPr>
      </w:pPr>
      <w:r>
        <w:t>Annexe 4 : Note “Genre et AdaptAction” (2022) : Analyse de l’intégration du genre et de l’inclusion sociale dans le programme et perspectives pour la phase 2 (2022-2026).</w:t>
      </w:r>
    </w:p>
    <w:p w14:paraId="624A1AB5" w14:textId="77777777" w:rsidR="007C4E62" w:rsidRDefault="007C4E62" w:rsidP="007C4E62">
      <w:pPr>
        <w:pStyle w:val="Paragraphedeliste"/>
      </w:pPr>
    </w:p>
    <w:p w14:paraId="08633DE4" w14:textId="79A0B1F9" w:rsidR="007C4E62" w:rsidRDefault="007C4E62" w:rsidP="007C4E62">
      <w:pPr>
        <w:pStyle w:val="Paragraphedeliste"/>
        <w:numPr>
          <w:ilvl w:val="0"/>
          <w:numId w:val="58"/>
        </w:numPr>
      </w:pPr>
      <w:r>
        <w:t>Annexe 5 : Liste des appuis AdaptAction (mise à jour 2025) : Tableau récapitulatif des appuis réalisés (pays, thématiques, partenaires, financements et état d’avancement).</w:t>
      </w:r>
    </w:p>
    <w:p w14:paraId="387AA2AF" w14:textId="2E0A3521" w:rsidR="00AB1ECD" w:rsidRPr="002C50D8" w:rsidRDefault="00AB1ECD" w:rsidP="007C4E62"/>
    <w:sectPr w:rsidR="00AB1ECD" w:rsidRPr="002C50D8">
      <w:headerReference w:type="default" r:id="rId14"/>
      <w:footerReference w:type="default" r:id="rId15"/>
      <w:pgSz w:w="11906" w:h="16838"/>
      <w:pgMar w:top="1702" w:right="1286" w:bottom="1618"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FBE21" w14:textId="77777777" w:rsidR="00C45B6B" w:rsidRDefault="00C45B6B">
      <w:r>
        <w:separator/>
      </w:r>
    </w:p>
  </w:endnote>
  <w:endnote w:type="continuationSeparator" w:id="0">
    <w:p w14:paraId="0285B349" w14:textId="77777777" w:rsidR="00C45B6B" w:rsidRDefault="00C45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panose1 w:val="02000000000000000000"/>
    <w:charset w:val="00"/>
    <w:family w:val="auto"/>
    <w:pitch w:val="variable"/>
    <w:sig w:usb0="E00002FF" w:usb1="5000205B" w:usb2="0000002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0ED98" w14:textId="3B2A05F6" w:rsidR="00EE394C" w:rsidRDefault="00EE394C">
    <w:pPr>
      <w:pBdr>
        <w:top w:val="nil"/>
        <w:left w:val="nil"/>
        <w:bottom w:val="nil"/>
        <w:right w:val="nil"/>
        <w:between w:val="nil"/>
      </w:pBdr>
      <w:tabs>
        <w:tab w:val="center" w:pos="4536"/>
        <w:tab w:val="right" w:pos="9072"/>
      </w:tabs>
      <w:ind w:left="-426" w:right="-295"/>
      <w:rPr>
        <w:i/>
        <w:color w:val="7F7F7F"/>
        <w:sz w:val="16"/>
        <w:szCs w:val="16"/>
      </w:rPr>
    </w:pPr>
    <w:r>
      <w:rPr>
        <w:i/>
        <w:color w:val="7F7F7F"/>
        <w:sz w:val="16"/>
        <w:szCs w:val="16"/>
      </w:rPr>
      <w:t xml:space="preserve">Agence Française de Développement (AFD)- 5, rue Roland Barthes 75598 Paris Cedex 12- Etablissement Public à caractère industriel et commercial- Dotation 400 millions d’euros- N° TVA communautaire FR 80 775 665 599- RCS PARIS B 775 665 599     </w:t>
    </w:r>
    <w:r>
      <w:rPr>
        <w:b/>
        <w:i/>
        <w:color w:val="1F497D"/>
        <w:sz w:val="16"/>
        <w:szCs w:val="16"/>
      </w:rPr>
      <w:t xml:space="preserve">-    Page </w:t>
    </w:r>
    <w:r>
      <w:rPr>
        <w:b/>
        <w:i/>
        <w:color w:val="1F497D"/>
        <w:sz w:val="16"/>
        <w:szCs w:val="16"/>
      </w:rPr>
      <w:fldChar w:fldCharType="begin"/>
    </w:r>
    <w:r>
      <w:rPr>
        <w:b/>
        <w:i/>
        <w:color w:val="1F497D"/>
        <w:sz w:val="16"/>
        <w:szCs w:val="16"/>
      </w:rPr>
      <w:instrText>PAGE</w:instrText>
    </w:r>
    <w:r>
      <w:rPr>
        <w:b/>
        <w:i/>
        <w:color w:val="1F497D"/>
        <w:sz w:val="16"/>
        <w:szCs w:val="16"/>
      </w:rPr>
      <w:fldChar w:fldCharType="separate"/>
    </w:r>
    <w:r w:rsidR="003A7FB4">
      <w:rPr>
        <w:b/>
        <w:i/>
        <w:noProof/>
        <w:color w:val="1F497D"/>
        <w:sz w:val="16"/>
        <w:szCs w:val="16"/>
      </w:rPr>
      <w:t>20</w:t>
    </w:r>
    <w:r>
      <w:rPr>
        <w:b/>
        <w:i/>
        <w:color w:val="1F497D"/>
        <w:sz w:val="16"/>
        <w:szCs w:val="16"/>
      </w:rPr>
      <w:fldChar w:fldCharType="end"/>
    </w:r>
    <w:r>
      <w:rPr>
        <w:b/>
        <w:i/>
        <w:color w:val="1F497D"/>
        <w:sz w:val="16"/>
        <w:szCs w:val="16"/>
      </w:rPr>
      <w:t>/</w:t>
    </w:r>
    <w:r>
      <w:rPr>
        <w:b/>
        <w:i/>
        <w:color w:val="1F497D"/>
        <w:sz w:val="16"/>
        <w:szCs w:val="16"/>
      </w:rPr>
      <w:fldChar w:fldCharType="begin"/>
    </w:r>
    <w:r>
      <w:rPr>
        <w:b/>
        <w:i/>
        <w:color w:val="1F497D"/>
        <w:sz w:val="16"/>
        <w:szCs w:val="16"/>
      </w:rPr>
      <w:instrText>NUMPAGES</w:instrText>
    </w:r>
    <w:r>
      <w:rPr>
        <w:b/>
        <w:i/>
        <w:color w:val="1F497D"/>
        <w:sz w:val="16"/>
        <w:szCs w:val="16"/>
      </w:rPr>
      <w:fldChar w:fldCharType="separate"/>
    </w:r>
    <w:r w:rsidR="003A7FB4">
      <w:rPr>
        <w:b/>
        <w:i/>
        <w:noProof/>
        <w:color w:val="1F497D"/>
        <w:sz w:val="16"/>
        <w:szCs w:val="16"/>
      </w:rPr>
      <w:t>20</w:t>
    </w:r>
    <w:r>
      <w:rPr>
        <w:b/>
        <w:i/>
        <w:color w:val="1F497D"/>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4FFF1" w14:textId="77777777" w:rsidR="00C45B6B" w:rsidRDefault="00C45B6B">
      <w:r>
        <w:separator/>
      </w:r>
    </w:p>
  </w:footnote>
  <w:footnote w:type="continuationSeparator" w:id="0">
    <w:p w14:paraId="3C03F2E2" w14:textId="77777777" w:rsidR="00C45B6B" w:rsidRDefault="00C45B6B">
      <w:r>
        <w:continuationSeparator/>
      </w:r>
    </w:p>
  </w:footnote>
  <w:footnote w:id="1">
    <w:p w14:paraId="482F8F55" w14:textId="181EB7D5" w:rsidR="00DB5DD7" w:rsidRDefault="00DB5DD7">
      <w:pPr>
        <w:pStyle w:val="Notedebasdepage"/>
      </w:pPr>
      <w:r>
        <w:rPr>
          <w:rStyle w:val="Appelnotedebasdep"/>
        </w:rPr>
        <w:footnoteRef/>
      </w:r>
      <w:r>
        <w:t xml:space="preserve"> </w:t>
      </w:r>
      <w:r w:rsidRPr="00DB5DD7">
        <w:t>Cameroun, Comores, République du Congo, Côte d’Ivoire, Cuba, Ghana, Guinée, Madagascar, Maurice, Niger, République Dominicaine, Sénégal, Tunisie</w:t>
      </w:r>
      <w:r>
        <w:t xml:space="preserve"> et deux organisations régionales COI et OECS</w:t>
      </w:r>
    </w:p>
  </w:footnote>
  <w:footnote w:id="2">
    <w:p w14:paraId="381BD0B5" w14:textId="48D4DA1E" w:rsidR="00896CE7" w:rsidRDefault="00896CE7">
      <w:pPr>
        <w:pStyle w:val="Notedebasdepage"/>
      </w:pPr>
      <w:r>
        <w:rPr>
          <w:rStyle w:val="Appelnotedebasdep"/>
        </w:rPr>
        <w:footnoteRef/>
      </w:r>
      <w:r>
        <w:t xml:space="preserve"> </w:t>
      </w:r>
      <w:r w:rsidRPr="00896CE7">
        <w:t>Bénin, Cameroun, Comores, République du Congo, République Démocratique du Congo, Côte d’Ivoire, Cuba, Gambie, Ghana, Guinée, Madagascar, Maurice, Niger, République Dominicaine, Sénégal, Togo, Tunisie</w:t>
      </w:r>
    </w:p>
  </w:footnote>
  <w:footnote w:id="3">
    <w:p w14:paraId="71DDC58D" w14:textId="5343ECA4" w:rsidR="00896CE7" w:rsidRDefault="00896CE7">
      <w:pPr>
        <w:pStyle w:val="Notedebasdepage"/>
      </w:pPr>
      <w:r>
        <w:rPr>
          <w:rStyle w:val="Appelnotedebasdep"/>
        </w:rPr>
        <w:footnoteRef/>
      </w:r>
      <w:r>
        <w:t xml:space="preserve"> </w:t>
      </w:r>
      <w:r w:rsidRPr="00896CE7">
        <w:t>Égypte, Jordanie, Liban, Maroc, Palestine, Tunisie</w:t>
      </w:r>
    </w:p>
  </w:footnote>
  <w:footnote w:id="4">
    <w:p w14:paraId="7494E68C" w14:textId="77777777" w:rsidR="00EE394C" w:rsidRDefault="00EE394C" w:rsidP="00097CAA">
      <w:pPr>
        <w:pStyle w:val="Notedebasdepage"/>
      </w:pPr>
      <w:r>
        <w:rPr>
          <w:rStyle w:val="Appelnotedebasdep"/>
        </w:rPr>
        <w:footnoteRef/>
      </w:r>
      <w:r>
        <w:t xml:space="preserve"> Hors extension Afrique du Nord et Moyen Orient et Bangladesh</w:t>
      </w:r>
    </w:p>
  </w:footnote>
  <w:footnote w:id="5">
    <w:p w14:paraId="489F839A" w14:textId="07B04DF1" w:rsidR="003B1022" w:rsidRDefault="003B1022">
      <w:pPr>
        <w:pStyle w:val="Notedebasdepage"/>
      </w:pPr>
      <w:r>
        <w:rPr>
          <w:rStyle w:val="Appelnotedebasdep"/>
        </w:rPr>
        <w:footnoteRef/>
      </w:r>
      <w:r>
        <w:t xml:space="preserve">  Voir partie 4.2 plus bas.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356F9" w14:textId="77777777" w:rsidR="00EE394C" w:rsidRDefault="00EE394C">
    <w:pPr>
      <w:pBdr>
        <w:top w:val="nil"/>
        <w:left w:val="nil"/>
        <w:bottom w:val="nil"/>
        <w:right w:val="nil"/>
        <w:between w:val="nil"/>
      </w:pBdr>
      <w:tabs>
        <w:tab w:val="center" w:pos="4536"/>
        <w:tab w:val="right" w:pos="9072"/>
      </w:tabs>
      <w:jc w:val="center"/>
      <w:rPr>
        <w:rFonts w:ascii="Times New Roman" w:eastAsia="Times New Roman" w:hAnsi="Times New Roman" w:cs="Times New Roman"/>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68A2"/>
    <w:multiLevelType w:val="multilevel"/>
    <w:tmpl w:val="66E01270"/>
    <w:lvl w:ilvl="0">
      <w:start w:val="3"/>
      <w:numFmt w:val="decimal"/>
      <w:lvlText w:val="%1."/>
      <w:lvlJc w:val="left"/>
      <w:pPr>
        <w:ind w:left="360" w:hanging="360"/>
      </w:pPr>
    </w:lvl>
    <w:lvl w:ilvl="1">
      <w:start w:val="1"/>
      <w:numFmt w:val="decimal"/>
      <w:lvlText w:val="%1.%2."/>
      <w:lvlJc w:val="left"/>
      <w:pPr>
        <w:ind w:left="720" w:hanging="720"/>
      </w:pPr>
      <w:rPr>
        <w:rFonts w:ascii="Roboto" w:eastAsia="Roboto" w:hAnsi="Roboto" w:cs="Roboto"/>
        <w:b/>
        <w:sz w:val="24"/>
        <w:szCs w:val="24"/>
      </w:rPr>
    </w:lvl>
    <w:lvl w:ilvl="2">
      <w:start w:val="1"/>
      <w:numFmt w:val="decimal"/>
      <w:lvlText w:val="%1.%2.%3."/>
      <w:lvlJc w:val="left"/>
      <w:pPr>
        <w:ind w:left="720" w:hanging="720"/>
      </w:pPr>
      <w:rPr>
        <w:b/>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 w15:restartNumberingAfterBreak="0">
    <w:nsid w:val="0BC666BF"/>
    <w:multiLevelType w:val="multilevel"/>
    <w:tmpl w:val="16040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3C0046"/>
    <w:multiLevelType w:val="hybridMultilevel"/>
    <w:tmpl w:val="68863C3A"/>
    <w:lvl w:ilvl="0" w:tplc="FFFFFFFF">
      <w:start w:val="1"/>
      <w:numFmt w:val="decimal"/>
      <w:lvlText w:val="%1."/>
      <w:lvlJc w:val="left"/>
      <w:pPr>
        <w:ind w:left="720" w:hanging="360"/>
      </w:pPr>
    </w:lvl>
    <w:lvl w:ilvl="1" w:tplc="040C000F">
      <w:start w:val="1"/>
      <w:numFmt w:val="decimal"/>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EEC224B"/>
    <w:multiLevelType w:val="multilevel"/>
    <w:tmpl w:val="AE429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2117BB"/>
    <w:multiLevelType w:val="multilevel"/>
    <w:tmpl w:val="3A22A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B224F4"/>
    <w:multiLevelType w:val="multilevel"/>
    <w:tmpl w:val="9A82D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5A65A4"/>
    <w:multiLevelType w:val="multilevel"/>
    <w:tmpl w:val="18584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931B82"/>
    <w:multiLevelType w:val="hybridMultilevel"/>
    <w:tmpl w:val="DBD61D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6E78EA"/>
    <w:multiLevelType w:val="multilevel"/>
    <w:tmpl w:val="D8E20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F04CDF"/>
    <w:multiLevelType w:val="multilevel"/>
    <w:tmpl w:val="FB744834"/>
    <w:lvl w:ilvl="0">
      <w:start w:val="10"/>
      <w:numFmt w:val="decimal"/>
      <w:lvlText w:val="%1."/>
      <w:lvlJc w:val="left"/>
      <w:pPr>
        <w:ind w:left="360" w:hanging="360"/>
      </w:pPr>
      <w:rPr>
        <w:rFonts w:hint="default"/>
      </w:rPr>
    </w:lvl>
    <w:lvl w:ilvl="1">
      <w:start w:val="1"/>
      <w:numFmt w:val="decimal"/>
      <w:lvlText w:val="9.%2."/>
      <w:lvlJc w:val="left"/>
      <w:pPr>
        <w:ind w:left="720" w:hanging="720"/>
      </w:pPr>
      <w:rPr>
        <w:rFonts w:ascii="Roboto" w:eastAsia="Roboto" w:hAnsi="Roboto" w:cs="Roboto" w:hint="default"/>
        <w:b/>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7B231D5"/>
    <w:multiLevelType w:val="multilevel"/>
    <w:tmpl w:val="171A9F7E"/>
    <w:lvl w:ilvl="0">
      <w:start w:val="7"/>
      <w:numFmt w:val="decimal"/>
      <w:lvlText w:val="Article %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9FA3979"/>
    <w:multiLevelType w:val="multilevel"/>
    <w:tmpl w:val="42D2D1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4F088E"/>
    <w:multiLevelType w:val="multilevel"/>
    <w:tmpl w:val="C6AC342A"/>
    <w:lvl w:ilvl="0">
      <w:start w:val="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DB726A6"/>
    <w:multiLevelType w:val="multilevel"/>
    <w:tmpl w:val="BF721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08F37F7"/>
    <w:multiLevelType w:val="multilevel"/>
    <w:tmpl w:val="6C5202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A057FB"/>
    <w:multiLevelType w:val="multilevel"/>
    <w:tmpl w:val="FEC8F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506F75"/>
    <w:multiLevelType w:val="hybridMultilevel"/>
    <w:tmpl w:val="0A4EB580"/>
    <w:lvl w:ilvl="0" w:tplc="66EE1668">
      <w:numFmt w:val="bullet"/>
      <w:lvlText w:val=""/>
      <w:lvlJc w:val="left"/>
      <w:pPr>
        <w:ind w:left="720" w:hanging="360"/>
      </w:pPr>
      <w:rPr>
        <w:rFonts w:ascii="Wingdings" w:eastAsia="Roboto" w:hAnsi="Wingdings" w:cs="Roboto"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3632690"/>
    <w:multiLevelType w:val="multilevel"/>
    <w:tmpl w:val="4232F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AF1C41"/>
    <w:multiLevelType w:val="multilevel"/>
    <w:tmpl w:val="40569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8F7168"/>
    <w:multiLevelType w:val="multilevel"/>
    <w:tmpl w:val="C4D24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A2F5149"/>
    <w:multiLevelType w:val="multilevel"/>
    <w:tmpl w:val="531CD4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0034B6"/>
    <w:multiLevelType w:val="multilevel"/>
    <w:tmpl w:val="E7262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B9878D7"/>
    <w:multiLevelType w:val="multilevel"/>
    <w:tmpl w:val="5BC03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C4E33AB"/>
    <w:multiLevelType w:val="multilevel"/>
    <w:tmpl w:val="DCFAF09E"/>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CB77231"/>
    <w:multiLevelType w:val="hybridMultilevel"/>
    <w:tmpl w:val="E070A5A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40071CB8"/>
    <w:multiLevelType w:val="multilevel"/>
    <w:tmpl w:val="E146E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0A069D0"/>
    <w:multiLevelType w:val="multilevel"/>
    <w:tmpl w:val="46BE5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D16682"/>
    <w:multiLevelType w:val="multilevel"/>
    <w:tmpl w:val="8A626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457BEC"/>
    <w:multiLevelType w:val="multilevel"/>
    <w:tmpl w:val="564E5C80"/>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5422F32"/>
    <w:multiLevelType w:val="multilevel"/>
    <w:tmpl w:val="A5C62B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A043D9E"/>
    <w:multiLevelType w:val="multilevel"/>
    <w:tmpl w:val="2CE0F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A667462"/>
    <w:multiLevelType w:val="hybridMultilevel"/>
    <w:tmpl w:val="0832B634"/>
    <w:lvl w:ilvl="0" w:tplc="6A68A988">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D533A0C"/>
    <w:multiLevelType w:val="multilevel"/>
    <w:tmpl w:val="49161E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DCB2E66"/>
    <w:multiLevelType w:val="hybridMultilevel"/>
    <w:tmpl w:val="897CD8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F7625E0"/>
    <w:multiLevelType w:val="hybridMultilevel"/>
    <w:tmpl w:val="569ACF36"/>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5" w15:restartNumberingAfterBreak="0">
    <w:nsid w:val="501F6B26"/>
    <w:multiLevelType w:val="multilevel"/>
    <w:tmpl w:val="AD96CA46"/>
    <w:lvl w:ilvl="0">
      <w:start w:val="1"/>
      <w:numFmt w:val="decimal"/>
      <w:lvlText w:val="%1."/>
      <w:lvlJc w:val="left"/>
      <w:pPr>
        <w:ind w:left="360" w:hanging="360"/>
      </w:pPr>
    </w:lvl>
    <w:lvl w:ilvl="1">
      <w:start w:val="1"/>
      <w:numFmt w:val="decimal"/>
      <w:lvlText w:val="%1.%2."/>
      <w:lvlJc w:val="left"/>
      <w:pPr>
        <w:ind w:left="720" w:hanging="720"/>
      </w:pPr>
      <w:rPr>
        <w:rFonts w:ascii="Roboto" w:eastAsia="Roboto" w:hAnsi="Roboto" w:cs="Roboto"/>
        <w:b/>
        <w:sz w:val="24"/>
        <w:szCs w:val="24"/>
      </w:rPr>
    </w:lvl>
    <w:lvl w:ilvl="2">
      <w:start w:val="1"/>
      <w:numFmt w:val="decimal"/>
      <w:lvlText w:val="%1.%2.%3."/>
      <w:lvlJc w:val="left"/>
      <w:pPr>
        <w:ind w:left="720" w:hanging="720"/>
      </w:pPr>
      <w:rPr>
        <w:b/>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6" w15:restartNumberingAfterBreak="0">
    <w:nsid w:val="50C72B45"/>
    <w:multiLevelType w:val="hybridMultilevel"/>
    <w:tmpl w:val="5ECE68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1EC7F11"/>
    <w:multiLevelType w:val="multilevel"/>
    <w:tmpl w:val="235E4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6362683"/>
    <w:multiLevelType w:val="multilevel"/>
    <w:tmpl w:val="596CE740"/>
    <w:lvl w:ilvl="0">
      <w:start w:val="1"/>
      <w:numFmt w:val="upperLetter"/>
      <w:lvlText w:val="%1."/>
      <w:lvlJc w:val="left"/>
      <w:pPr>
        <w:ind w:left="360" w:hanging="360"/>
      </w:pPr>
      <w:rPr>
        <w:b/>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5A757750"/>
    <w:multiLevelType w:val="multilevel"/>
    <w:tmpl w:val="F6B64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B5D3F1F"/>
    <w:multiLevelType w:val="multilevel"/>
    <w:tmpl w:val="8736A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BF172F7"/>
    <w:multiLevelType w:val="multilevel"/>
    <w:tmpl w:val="66E01270"/>
    <w:lvl w:ilvl="0">
      <w:start w:val="3"/>
      <w:numFmt w:val="decimal"/>
      <w:lvlText w:val="%1."/>
      <w:lvlJc w:val="left"/>
      <w:pPr>
        <w:ind w:left="360" w:hanging="360"/>
      </w:pPr>
    </w:lvl>
    <w:lvl w:ilvl="1">
      <w:start w:val="1"/>
      <w:numFmt w:val="decimal"/>
      <w:lvlText w:val="%1.%2."/>
      <w:lvlJc w:val="left"/>
      <w:pPr>
        <w:ind w:left="720" w:hanging="720"/>
      </w:pPr>
      <w:rPr>
        <w:rFonts w:ascii="Roboto" w:eastAsia="Roboto" w:hAnsi="Roboto" w:cs="Roboto"/>
        <w:b/>
        <w:sz w:val="24"/>
        <w:szCs w:val="24"/>
      </w:rPr>
    </w:lvl>
    <w:lvl w:ilvl="2">
      <w:start w:val="1"/>
      <w:numFmt w:val="decimal"/>
      <w:lvlText w:val="%1.%2.%3."/>
      <w:lvlJc w:val="left"/>
      <w:pPr>
        <w:ind w:left="720" w:hanging="720"/>
      </w:pPr>
      <w:rPr>
        <w:b/>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2" w15:restartNumberingAfterBreak="0">
    <w:nsid w:val="5EE24A9A"/>
    <w:multiLevelType w:val="multilevel"/>
    <w:tmpl w:val="99862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F6C79C3"/>
    <w:multiLevelType w:val="multilevel"/>
    <w:tmpl w:val="18F852CE"/>
    <w:lvl w:ilvl="0">
      <w:start w:val="1"/>
      <w:numFmt w:val="decimal"/>
      <w:lvlText w:val="Article %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62EF4409"/>
    <w:multiLevelType w:val="multilevel"/>
    <w:tmpl w:val="82D0C9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31E50CB"/>
    <w:multiLevelType w:val="hybridMultilevel"/>
    <w:tmpl w:val="89C866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3BE3A02"/>
    <w:multiLevelType w:val="hybridMultilevel"/>
    <w:tmpl w:val="24C0454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5826CA3"/>
    <w:multiLevelType w:val="multilevel"/>
    <w:tmpl w:val="F216F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E741A27"/>
    <w:multiLevelType w:val="multilevel"/>
    <w:tmpl w:val="6A70C586"/>
    <w:lvl w:ilvl="0">
      <w:start w:val="8"/>
      <w:numFmt w:val="decimal"/>
      <w:lvlText w:val="%1."/>
      <w:lvlJc w:val="left"/>
      <w:pPr>
        <w:ind w:left="360" w:hanging="360"/>
      </w:pPr>
      <w:rPr>
        <w:rFonts w:hint="default"/>
      </w:rPr>
    </w:lvl>
    <w:lvl w:ilvl="1">
      <w:start w:val="1"/>
      <w:numFmt w:val="decimal"/>
      <w:lvlText w:val="7.%2."/>
      <w:lvlJc w:val="left"/>
      <w:pPr>
        <w:ind w:left="720" w:hanging="720"/>
      </w:pPr>
      <w:rPr>
        <w:rFonts w:ascii="Roboto" w:eastAsia="Roboto" w:hAnsi="Roboto" w:cs="Roboto" w:hint="default"/>
        <w:b/>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F4D306B"/>
    <w:multiLevelType w:val="hybridMultilevel"/>
    <w:tmpl w:val="2DC6954C"/>
    <w:lvl w:ilvl="0" w:tplc="35D6AF1A">
      <w:start w:val="1"/>
      <w:numFmt w:val="bullet"/>
      <w:lvlText w:val="-"/>
      <w:lvlJc w:val="left"/>
      <w:pPr>
        <w:ind w:left="720" w:hanging="360"/>
      </w:pPr>
      <w:rPr>
        <w:rFonts w:ascii="Roboto" w:eastAsia="Roboto" w:hAnsi="Roboto" w:cs="Roboto"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1157DC5"/>
    <w:multiLevelType w:val="multilevel"/>
    <w:tmpl w:val="99B2B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3721CCE"/>
    <w:multiLevelType w:val="multilevel"/>
    <w:tmpl w:val="7A241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5BC7B33"/>
    <w:multiLevelType w:val="multilevel"/>
    <w:tmpl w:val="4C583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610133C"/>
    <w:multiLevelType w:val="multilevel"/>
    <w:tmpl w:val="0F3A8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7D61215"/>
    <w:multiLevelType w:val="hybridMultilevel"/>
    <w:tmpl w:val="AFD61F4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7B344E1D"/>
    <w:multiLevelType w:val="hybridMultilevel"/>
    <w:tmpl w:val="F43E8FCE"/>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786" w:hanging="360"/>
      </w:pPr>
      <w:rPr>
        <w:rFonts w:ascii="Courier New" w:hAnsi="Courier New" w:cs="Courier New" w:hint="default"/>
      </w:rPr>
    </w:lvl>
    <w:lvl w:ilvl="2" w:tplc="B43CDF60">
      <w:numFmt w:val="bullet"/>
      <w:lvlText w:val="-"/>
      <w:lvlJc w:val="left"/>
      <w:pPr>
        <w:ind w:left="1800" w:hanging="360"/>
      </w:pPr>
      <w:rPr>
        <w:rFonts w:ascii="Times New Roman" w:eastAsia="Times New Roman" w:hAnsi="Times New Roman" w:cs="Times New Roman"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6" w15:restartNumberingAfterBreak="0">
    <w:nsid w:val="7D032F3A"/>
    <w:multiLevelType w:val="multilevel"/>
    <w:tmpl w:val="16041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D520B26"/>
    <w:multiLevelType w:val="multilevel"/>
    <w:tmpl w:val="D9D8B690"/>
    <w:lvl w:ilvl="0">
      <w:start w:val="1"/>
      <w:numFmt w:val="decimal"/>
      <w:lvlText w:val="%1."/>
      <w:lvlJc w:val="left"/>
      <w:pPr>
        <w:ind w:left="360" w:hanging="360"/>
      </w:pPr>
    </w:lvl>
    <w:lvl w:ilvl="1">
      <w:start w:val="1"/>
      <w:numFmt w:val="decimal"/>
      <w:lvlText w:val="%1.%2."/>
      <w:lvlJc w:val="left"/>
      <w:pPr>
        <w:ind w:left="720" w:hanging="720"/>
      </w:pPr>
      <w:rPr>
        <w:rFonts w:ascii="Roboto" w:eastAsia="Roboto" w:hAnsi="Roboto" w:cs="Roboto"/>
        <w:b/>
        <w:sz w:val="24"/>
        <w:szCs w:val="24"/>
      </w:rPr>
    </w:lvl>
    <w:lvl w:ilvl="2">
      <w:start w:val="1"/>
      <w:numFmt w:val="decimal"/>
      <w:lvlText w:val="%1.%2.%3."/>
      <w:lvlJc w:val="left"/>
      <w:pPr>
        <w:ind w:left="720" w:hanging="720"/>
      </w:pPr>
      <w:rPr>
        <w:b/>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16cid:durableId="161941282">
    <w:abstractNumId w:val="43"/>
  </w:num>
  <w:num w:numId="2" w16cid:durableId="1778478972">
    <w:abstractNumId w:val="12"/>
  </w:num>
  <w:num w:numId="3" w16cid:durableId="1089541831">
    <w:abstractNumId w:val="57"/>
  </w:num>
  <w:num w:numId="4" w16cid:durableId="1254584647">
    <w:abstractNumId w:val="41"/>
  </w:num>
  <w:num w:numId="5" w16cid:durableId="456027635">
    <w:abstractNumId w:val="48"/>
  </w:num>
  <w:num w:numId="6" w16cid:durableId="1107777089">
    <w:abstractNumId w:val="9"/>
  </w:num>
  <w:num w:numId="7" w16cid:durableId="1043362862">
    <w:abstractNumId w:val="38"/>
  </w:num>
  <w:num w:numId="8" w16cid:durableId="320543916">
    <w:abstractNumId w:val="35"/>
  </w:num>
  <w:num w:numId="9" w16cid:durableId="1985043021">
    <w:abstractNumId w:val="10"/>
  </w:num>
  <w:num w:numId="10" w16cid:durableId="1354771917">
    <w:abstractNumId w:val="53"/>
  </w:num>
  <w:num w:numId="11" w16cid:durableId="862282256">
    <w:abstractNumId w:val="18"/>
  </w:num>
  <w:num w:numId="12" w16cid:durableId="742064246">
    <w:abstractNumId w:val="27"/>
  </w:num>
  <w:num w:numId="13" w16cid:durableId="1433937034">
    <w:abstractNumId w:val="8"/>
  </w:num>
  <w:num w:numId="14" w16cid:durableId="957101041">
    <w:abstractNumId w:val="34"/>
  </w:num>
  <w:num w:numId="15" w16cid:durableId="2053916635">
    <w:abstractNumId w:val="39"/>
  </w:num>
  <w:num w:numId="16" w16cid:durableId="145051385">
    <w:abstractNumId w:val="49"/>
  </w:num>
  <w:num w:numId="17" w16cid:durableId="278032145">
    <w:abstractNumId w:val="55"/>
  </w:num>
  <w:num w:numId="18" w16cid:durableId="1472946543">
    <w:abstractNumId w:val="31"/>
  </w:num>
  <w:num w:numId="19" w16cid:durableId="72095367">
    <w:abstractNumId w:val="50"/>
  </w:num>
  <w:num w:numId="20" w16cid:durableId="743647169">
    <w:abstractNumId w:val="32"/>
  </w:num>
  <w:num w:numId="21" w16cid:durableId="1903370383">
    <w:abstractNumId w:val="23"/>
  </w:num>
  <w:num w:numId="22" w16cid:durableId="1782647413">
    <w:abstractNumId w:val="28"/>
  </w:num>
  <w:num w:numId="23" w16cid:durableId="877398849">
    <w:abstractNumId w:val="36"/>
  </w:num>
  <w:num w:numId="24" w16cid:durableId="1210921011">
    <w:abstractNumId w:val="11"/>
  </w:num>
  <w:num w:numId="25" w16cid:durableId="1993563711">
    <w:abstractNumId w:val="51"/>
  </w:num>
  <w:num w:numId="26" w16cid:durableId="1989095397">
    <w:abstractNumId w:val="21"/>
  </w:num>
  <w:num w:numId="27" w16cid:durableId="1911116146">
    <w:abstractNumId w:val="13"/>
  </w:num>
  <w:num w:numId="28" w16cid:durableId="401756030">
    <w:abstractNumId w:val="5"/>
  </w:num>
  <w:num w:numId="29" w16cid:durableId="1163204667">
    <w:abstractNumId w:val="47"/>
  </w:num>
  <w:num w:numId="30" w16cid:durableId="1501651692">
    <w:abstractNumId w:val="22"/>
  </w:num>
  <w:num w:numId="31" w16cid:durableId="247153701">
    <w:abstractNumId w:val="52"/>
  </w:num>
  <w:num w:numId="32" w16cid:durableId="956984476">
    <w:abstractNumId w:val="42"/>
  </w:num>
  <w:num w:numId="33" w16cid:durableId="880240909">
    <w:abstractNumId w:val="19"/>
  </w:num>
  <w:num w:numId="34" w16cid:durableId="2099672116">
    <w:abstractNumId w:val="3"/>
  </w:num>
  <w:num w:numId="35" w16cid:durableId="167333024">
    <w:abstractNumId w:val="20"/>
  </w:num>
  <w:num w:numId="36" w16cid:durableId="698120391">
    <w:abstractNumId w:val="44"/>
  </w:num>
  <w:num w:numId="37" w16cid:durableId="1600403846">
    <w:abstractNumId w:val="4"/>
  </w:num>
  <w:num w:numId="38" w16cid:durableId="183640364">
    <w:abstractNumId w:val="17"/>
  </w:num>
  <w:num w:numId="39" w16cid:durableId="1493175471">
    <w:abstractNumId w:val="6"/>
  </w:num>
  <w:num w:numId="40" w16cid:durableId="270749404">
    <w:abstractNumId w:val="1"/>
  </w:num>
  <w:num w:numId="41" w16cid:durableId="210966033">
    <w:abstractNumId w:val="37"/>
  </w:num>
  <w:num w:numId="42" w16cid:durableId="2018464308">
    <w:abstractNumId w:val="0"/>
  </w:num>
  <w:num w:numId="43" w16cid:durableId="1936286838">
    <w:abstractNumId w:val="46"/>
  </w:num>
  <w:num w:numId="44" w16cid:durableId="844634007">
    <w:abstractNumId w:val="16"/>
  </w:num>
  <w:num w:numId="45" w16cid:durableId="583687198">
    <w:abstractNumId w:val="29"/>
  </w:num>
  <w:num w:numId="46" w16cid:durableId="502352893">
    <w:abstractNumId w:val="45"/>
  </w:num>
  <w:num w:numId="47" w16cid:durableId="1043797950">
    <w:abstractNumId w:val="7"/>
  </w:num>
  <w:num w:numId="48" w16cid:durableId="1897858713">
    <w:abstractNumId w:val="40"/>
  </w:num>
  <w:num w:numId="49" w16cid:durableId="818808344">
    <w:abstractNumId w:val="30"/>
  </w:num>
  <w:num w:numId="50" w16cid:durableId="23408118">
    <w:abstractNumId w:val="56"/>
  </w:num>
  <w:num w:numId="51" w16cid:durableId="1742366414">
    <w:abstractNumId w:val="14"/>
  </w:num>
  <w:num w:numId="52" w16cid:durableId="1927111990">
    <w:abstractNumId w:val="25"/>
  </w:num>
  <w:num w:numId="53" w16cid:durableId="16857948">
    <w:abstractNumId w:val="15"/>
  </w:num>
  <w:num w:numId="54" w16cid:durableId="1291086908">
    <w:abstractNumId w:val="54"/>
  </w:num>
  <w:num w:numId="55" w16cid:durableId="747265801">
    <w:abstractNumId w:val="2"/>
  </w:num>
  <w:num w:numId="56" w16cid:durableId="620963374">
    <w:abstractNumId w:val="26"/>
  </w:num>
  <w:num w:numId="57" w16cid:durableId="2036882750">
    <w:abstractNumId w:val="33"/>
  </w:num>
  <w:num w:numId="58" w16cid:durableId="643237135">
    <w:abstractNumId w:val="2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543"/>
    <w:rsid w:val="000133FD"/>
    <w:rsid w:val="00013DF3"/>
    <w:rsid w:val="00015024"/>
    <w:rsid w:val="0001552C"/>
    <w:rsid w:val="00026A7B"/>
    <w:rsid w:val="000270D2"/>
    <w:rsid w:val="00030A0B"/>
    <w:rsid w:val="00044761"/>
    <w:rsid w:val="00044EE5"/>
    <w:rsid w:val="00046093"/>
    <w:rsid w:val="00070BA4"/>
    <w:rsid w:val="000715DE"/>
    <w:rsid w:val="00072870"/>
    <w:rsid w:val="000737A9"/>
    <w:rsid w:val="00075001"/>
    <w:rsid w:val="00080DCD"/>
    <w:rsid w:val="000850AB"/>
    <w:rsid w:val="00086314"/>
    <w:rsid w:val="00094A00"/>
    <w:rsid w:val="00097CAA"/>
    <w:rsid w:val="000A69FC"/>
    <w:rsid w:val="000A74F4"/>
    <w:rsid w:val="000B45BB"/>
    <w:rsid w:val="000C03AF"/>
    <w:rsid w:val="000C15D1"/>
    <w:rsid w:val="000C2B41"/>
    <w:rsid w:val="000D12DA"/>
    <w:rsid w:val="000D428A"/>
    <w:rsid w:val="000E0628"/>
    <w:rsid w:val="000E0E93"/>
    <w:rsid w:val="000E7F99"/>
    <w:rsid w:val="000F037F"/>
    <w:rsid w:val="00104A1F"/>
    <w:rsid w:val="00107565"/>
    <w:rsid w:val="00121B81"/>
    <w:rsid w:val="00121C76"/>
    <w:rsid w:val="00132489"/>
    <w:rsid w:val="0013681D"/>
    <w:rsid w:val="00141412"/>
    <w:rsid w:val="00143590"/>
    <w:rsid w:val="00154830"/>
    <w:rsid w:val="00173CD2"/>
    <w:rsid w:val="00173D54"/>
    <w:rsid w:val="001831CB"/>
    <w:rsid w:val="00186759"/>
    <w:rsid w:val="00195D28"/>
    <w:rsid w:val="001964EC"/>
    <w:rsid w:val="001A47C4"/>
    <w:rsid w:val="001D2B30"/>
    <w:rsid w:val="001D76E3"/>
    <w:rsid w:val="00207B61"/>
    <w:rsid w:val="00215C03"/>
    <w:rsid w:val="00220277"/>
    <w:rsid w:val="002302B6"/>
    <w:rsid w:val="00230D5A"/>
    <w:rsid w:val="00235EF9"/>
    <w:rsid w:val="0024526E"/>
    <w:rsid w:val="00263BC2"/>
    <w:rsid w:val="00271A21"/>
    <w:rsid w:val="002738DF"/>
    <w:rsid w:val="00281B48"/>
    <w:rsid w:val="00282353"/>
    <w:rsid w:val="0029385B"/>
    <w:rsid w:val="002A2440"/>
    <w:rsid w:val="002C14FA"/>
    <w:rsid w:val="002C50D8"/>
    <w:rsid w:val="002D1016"/>
    <w:rsid w:val="002D23E2"/>
    <w:rsid w:val="002D2EA3"/>
    <w:rsid w:val="002E4B5E"/>
    <w:rsid w:val="002E532F"/>
    <w:rsid w:val="003045CF"/>
    <w:rsid w:val="00306637"/>
    <w:rsid w:val="00306B24"/>
    <w:rsid w:val="003101A1"/>
    <w:rsid w:val="00317B4F"/>
    <w:rsid w:val="00330C25"/>
    <w:rsid w:val="003310AC"/>
    <w:rsid w:val="00334485"/>
    <w:rsid w:val="00335971"/>
    <w:rsid w:val="00337765"/>
    <w:rsid w:val="00345D28"/>
    <w:rsid w:val="003467BF"/>
    <w:rsid w:val="0034696E"/>
    <w:rsid w:val="003472B6"/>
    <w:rsid w:val="003473F6"/>
    <w:rsid w:val="00363962"/>
    <w:rsid w:val="00366393"/>
    <w:rsid w:val="0037041B"/>
    <w:rsid w:val="00370F3A"/>
    <w:rsid w:val="00376AAB"/>
    <w:rsid w:val="00391E61"/>
    <w:rsid w:val="003963FF"/>
    <w:rsid w:val="003A103E"/>
    <w:rsid w:val="003A38DE"/>
    <w:rsid w:val="003A7FB4"/>
    <w:rsid w:val="003B0133"/>
    <w:rsid w:val="003B1022"/>
    <w:rsid w:val="003B12F2"/>
    <w:rsid w:val="003C0081"/>
    <w:rsid w:val="003C1D07"/>
    <w:rsid w:val="003C20B1"/>
    <w:rsid w:val="003C2BB3"/>
    <w:rsid w:val="003C505F"/>
    <w:rsid w:val="003C5F90"/>
    <w:rsid w:val="003C62FE"/>
    <w:rsid w:val="003D7108"/>
    <w:rsid w:val="003E2311"/>
    <w:rsid w:val="003E4FB4"/>
    <w:rsid w:val="003E5C07"/>
    <w:rsid w:val="00402CAE"/>
    <w:rsid w:val="004150F0"/>
    <w:rsid w:val="00435A8D"/>
    <w:rsid w:val="00440C28"/>
    <w:rsid w:val="00446D44"/>
    <w:rsid w:val="00447819"/>
    <w:rsid w:val="00450BDC"/>
    <w:rsid w:val="00451A2B"/>
    <w:rsid w:val="0045519F"/>
    <w:rsid w:val="00461CE8"/>
    <w:rsid w:val="00461E6A"/>
    <w:rsid w:val="00464889"/>
    <w:rsid w:val="00466407"/>
    <w:rsid w:val="00466EB4"/>
    <w:rsid w:val="004710E3"/>
    <w:rsid w:val="00477B1C"/>
    <w:rsid w:val="00481F4E"/>
    <w:rsid w:val="00483985"/>
    <w:rsid w:val="0049082D"/>
    <w:rsid w:val="00492525"/>
    <w:rsid w:val="004A1DDC"/>
    <w:rsid w:val="004A4907"/>
    <w:rsid w:val="004B2498"/>
    <w:rsid w:val="004B67CF"/>
    <w:rsid w:val="004C2023"/>
    <w:rsid w:val="004C5CEB"/>
    <w:rsid w:val="004D6837"/>
    <w:rsid w:val="004D7A5C"/>
    <w:rsid w:val="004E370B"/>
    <w:rsid w:val="004E4523"/>
    <w:rsid w:val="00501E9B"/>
    <w:rsid w:val="0052073E"/>
    <w:rsid w:val="00523ACB"/>
    <w:rsid w:val="00531877"/>
    <w:rsid w:val="005321E2"/>
    <w:rsid w:val="00533681"/>
    <w:rsid w:val="005368F4"/>
    <w:rsid w:val="00553D3B"/>
    <w:rsid w:val="00554003"/>
    <w:rsid w:val="00567EF9"/>
    <w:rsid w:val="00577F89"/>
    <w:rsid w:val="00595CB5"/>
    <w:rsid w:val="005B4E11"/>
    <w:rsid w:val="005E0CE1"/>
    <w:rsid w:val="005E6A0E"/>
    <w:rsid w:val="005F7B4E"/>
    <w:rsid w:val="006004FD"/>
    <w:rsid w:val="006041AE"/>
    <w:rsid w:val="006047B2"/>
    <w:rsid w:val="00613760"/>
    <w:rsid w:val="00614FA9"/>
    <w:rsid w:val="00615FA3"/>
    <w:rsid w:val="00617F27"/>
    <w:rsid w:val="00623942"/>
    <w:rsid w:val="0062763E"/>
    <w:rsid w:val="00635341"/>
    <w:rsid w:val="006362A9"/>
    <w:rsid w:val="006372D6"/>
    <w:rsid w:val="00637B97"/>
    <w:rsid w:val="00642DEA"/>
    <w:rsid w:val="00645197"/>
    <w:rsid w:val="00655239"/>
    <w:rsid w:val="006624EB"/>
    <w:rsid w:val="00663394"/>
    <w:rsid w:val="00663434"/>
    <w:rsid w:val="00670A71"/>
    <w:rsid w:val="0067211F"/>
    <w:rsid w:val="00674313"/>
    <w:rsid w:val="006745E2"/>
    <w:rsid w:val="006813F6"/>
    <w:rsid w:val="006818AD"/>
    <w:rsid w:val="00681CD1"/>
    <w:rsid w:val="00687970"/>
    <w:rsid w:val="0069630B"/>
    <w:rsid w:val="006C2D7E"/>
    <w:rsid w:val="006C58F7"/>
    <w:rsid w:val="006D0241"/>
    <w:rsid w:val="006D50BC"/>
    <w:rsid w:val="006D6258"/>
    <w:rsid w:val="006E2E08"/>
    <w:rsid w:val="006E7871"/>
    <w:rsid w:val="006F382D"/>
    <w:rsid w:val="006F45EF"/>
    <w:rsid w:val="007065EF"/>
    <w:rsid w:val="00706C7A"/>
    <w:rsid w:val="007144DA"/>
    <w:rsid w:val="0071651E"/>
    <w:rsid w:val="00722057"/>
    <w:rsid w:val="007246FF"/>
    <w:rsid w:val="00732FD7"/>
    <w:rsid w:val="0074642A"/>
    <w:rsid w:val="0075099B"/>
    <w:rsid w:val="0075335E"/>
    <w:rsid w:val="007553A8"/>
    <w:rsid w:val="0075697D"/>
    <w:rsid w:val="00761951"/>
    <w:rsid w:val="00766FE1"/>
    <w:rsid w:val="00774314"/>
    <w:rsid w:val="0077578C"/>
    <w:rsid w:val="00777055"/>
    <w:rsid w:val="0079126E"/>
    <w:rsid w:val="00791AFE"/>
    <w:rsid w:val="00792B74"/>
    <w:rsid w:val="007A039C"/>
    <w:rsid w:val="007B3DBA"/>
    <w:rsid w:val="007C145B"/>
    <w:rsid w:val="007C22F3"/>
    <w:rsid w:val="007C4E62"/>
    <w:rsid w:val="007D3678"/>
    <w:rsid w:val="007D4E5F"/>
    <w:rsid w:val="007E614B"/>
    <w:rsid w:val="007E675F"/>
    <w:rsid w:val="007E7465"/>
    <w:rsid w:val="007F1F62"/>
    <w:rsid w:val="007F1F89"/>
    <w:rsid w:val="007F4AB4"/>
    <w:rsid w:val="007F6ED7"/>
    <w:rsid w:val="0080239D"/>
    <w:rsid w:val="00804DD9"/>
    <w:rsid w:val="00814FBA"/>
    <w:rsid w:val="008165E0"/>
    <w:rsid w:val="0082309C"/>
    <w:rsid w:val="00841DDF"/>
    <w:rsid w:val="00842D38"/>
    <w:rsid w:val="00845221"/>
    <w:rsid w:val="008570BD"/>
    <w:rsid w:val="0085758C"/>
    <w:rsid w:val="00864A71"/>
    <w:rsid w:val="00873F75"/>
    <w:rsid w:val="00874CCA"/>
    <w:rsid w:val="008751FD"/>
    <w:rsid w:val="008820D2"/>
    <w:rsid w:val="008865AC"/>
    <w:rsid w:val="00887D35"/>
    <w:rsid w:val="00896CE7"/>
    <w:rsid w:val="008976F3"/>
    <w:rsid w:val="008A7D27"/>
    <w:rsid w:val="008B1FA8"/>
    <w:rsid w:val="008B6E4D"/>
    <w:rsid w:val="008C4668"/>
    <w:rsid w:val="008D27DD"/>
    <w:rsid w:val="008D3011"/>
    <w:rsid w:val="008E407D"/>
    <w:rsid w:val="008F52E7"/>
    <w:rsid w:val="00905791"/>
    <w:rsid w:val="00906285"/>
    <w:rsid w:val="0091007C"/>
    <w:rsid w:val="00914E5A"/>
    <w:rsid w:val="00950EF7"/>
    <w:rsid w:val="00951A3A"/>
    <w:rsid w:val="00952F11"/>
    <w:rsid w:val="009561CB"/>
    <w:rsid w:val="00957D34"/>
    <w:rsid w:val="00983528"/>
    <w:rsid w:val="0098573E"/>
    <w:rsid w:val="00990AD1"/>
    <w:rsid w:val="009926D9"/>
    <w:rsid w:val="00992DF8"/>
    <w:rsid w:val="00994923"/>
    <w:rsid w:val="009D063B"/>
    <w:rsid w:val="009D403F"/>
    <w:rsid w:val="009E1C06"/>
    <w:rsid w:val="009E2C4E"/>
    <w:rsid w:val="009F1219"/>
    <w:rsid w:val="009F6644"/>
    <w:rsid w:val="00A0223C"/>
    <w:rsid w:val="00A15E1A"/>
    <w:rsid w:val="00A20250"/>
    <w:rsid w:val="00A24A26"/>
    <w:rsid w:val="00A25A99"/>
    <w:rsid w:val="00A30F08"/>
    <w:rsid w:val="00A370F3"/>
    <w:rsid w:val="00A56133"/>
    <w:rsid w:val="00A60A29"/>
    <w:rsid w:val="00A60B9F"/>
    <w:rsid w:val="00A61543"/>
    <w:rsid w:val="00A63E8F"/>
    <w:rsid w:val="00A64242"/>
    <w:rsid w:val="00A64DD3"/>
    <w:rsid w:val="00A819AC"/>
    <w:rsid w:val="00A83E8A"/>
    <w:rsid w:val="00A87FCB"/>
    <w:rsid w:val="00A95220"/>
    <w:rsid w:val="00A95354"/>
    <w:rsid w:val="00AB1ECD"/>
    <w:rsid w:val="00AC4BFF"/>
    <w:rsid w:val="00AD2AB4"/>
    <w:rsid w:val="00AE2B7E"/>
    <w:rsid w:val="00AE5142"/>
    <w:rsid w:val="00AE5842"/>
    <w:rsid w:val="00AE700F"/>
    <w:rsid w:val="00AF4D7C"/>
    <w:rsid w:val="00AF6044"/>
    <w:rsid w:val="00B01B23"/>
    <w:rsid w:val="00B03324"/>
    <w:rsid w:val="00B108C7"/>
    <w:rsid w:val="00B17A81"/>
    <w:rsid w:val="00B21D89"/>
    <w:rsid w:val="00B2379C"/>
    <w:rsid w:val="00B34BBE"/>
    <w:rsid w:val="00B64184"/>
    <w:rsid w:val="00B653A2"/>
    <w:rsid w:val="00B745D0"/>
    <w:rsid w:val="00B85208"/>
    <w:rsid w:val="00B90075"/>
    <w:rsid w:val="00BA25AF"/>
    <w:rsid w:val="00BA358D"/>
    <w:rsid w:val="00BC00C6"/>
    <w:rsid w:val="00BC04A3"/>
    <w:rsid w:val="00BC1213"/>
    <w:rsid w:val="00BC337C"/>
    <w:rsid w:val="00BC72E6"/>
    <w:rsid w:val="00BD2A3B"/>
    <w:rsid w:val="00BD4D74"/>
    <w:rsid w:val="00BD6C2D"/>
    <w:rsid w:val="00BD7943"/>
    <w:rsid w:val="00BE4375"/>
    <w:rsid w:val="00BF71D3"/>
    <w:rsid w:val="00C00980"/>
    <w:rsid w:val="00C0629F"/>
    <w:rsid w:val="00C2003F"/>
    <w:rsid w:val="00C221B5"/>
    <w:rsid w:val="00C22346"/>
    <w:rsid w:val="00C22B96"/>
    <w:rsid w:val="00C45B6B"/>
    <w:rsid w:val="00C56748"/>
    <w:rsid w:val="00C72E30"/>
    <w:rsid w:val="00C74EEB"/>
    <w:rsid w:val="00C7626F"/>
    <w:rsid w:val="00C8059E"/>
    <w:rsid w:val="00C81897"/>
    <w:rsid w:val="00C86A2E"/>
    <w:rsid w:val="00C907EF"/>
    <w:rsid w:val="00CA1DE5"/>
    <w:rsid w:val="00CA6442"/>
    <w:rsid w:val="00CA7CC0"/>
    <w:rsid w:val="00CC4663"/>
    <w:rsid w:val="00CD284C"/>
    <w:rsid w:val="00D00D06"/>
    <w:rsid w:val="00D1000F"/>
    <w:rsid w:val="00D136D0"/>
    <w:rsid w:val="00D1461C"/>
    <w:rsid w:val="00D17366"/>
    <w:rsid w:val="00D20E41"/>
    <w:rsid w:val="00D30D25"/>
    <w:rsid w:val="00D32119"/>
    <w:rsid w:val="00D3403B"/>
    <w:rsid w:val="00D43B71"/>
    <w:rsid w:val="00D45156"/>
    <w:rsid w:val="00D46385"/>
    <w:rsid w:val="00D57876"/>
    <w:rsid w:val="00D60FF2"/>
    <w:rsid w:val="00D850CC"/>
    <w:rsid w:val="00D8747E"/>
    <w:rsid w:val="00D973A8"/>
    <w:rsid w:val="00DA3FA5"/>
    <w:rsid w:val="00DB5DD7"/>
    <w:rsid w:val="00DB7878"/>
    <w:rsid w:val="00DC0975"/>
    <w:rsid w:val="00DC35E9"/>
    <w:rsid w:val="00DD7090"/>
    <w:rsid w:val="00E11115"/>
    <w:rsid w:val="00E243F4"/>
    <w:rsid w:val="00E25C5E"/>
    <w:rsid w:val="00E2705A"/>
    <w:rsid w:val="00E41AC5"/>
    <w:rsid w:val="00E4538F"/>
    <w:rsid w:val="00E472FE"/>
    <w:rsid w:val="00E54E6F"/>
    <w:rsid w:val="00E61ED6"/>
    <w:rsid w:val="00E62526"/>
    <w:rsid w:val="00E6277C"/>
    <w:rsid w:val="00E66282"/>
    <w:rsid w:val="00E67E8F"/>
    <w:rsid w:val="00E72FD7"/>
    <w:rsid w:val="00E93283"/>
    <w:rsid w:val="00EA083A"/>
    <w:rsid w:val="00EA6AAC"/>
    <w:rsid w:val="00EB2A69"/>
    <w:rsid w:val="00EC54F1"/>
    <w:rsid w:val="00EC6A5E"/>
    <w:rsid w:val="00ED16F0"/>
    <w:rsid w:val="00ED6387"/>
    <w:rsid w:val="00EE394C"/>
    <w:rsid w:val="00EE44F4"/>
    <w:rsid w:val="00EE7E3A"/>
    <w:rsid w:val="00EF25BA"/>
    <w:rsid w:val="00F05F1A"/>
    <w:rsid w:val="00F12A89"/>
    <w:rsid w:val="00F15CA6"/>
    <w:rsid w:val="00F219A7"/>
    <w:rsid w:val="00F27AC0"/>
    <w:rsid w:val="00F35298"/>
    <w:rsid w:val="00F43C1B"/>
    <w:rsid w:val="00F553A6"/>
    <w:rsid w:val="00F60EB3"/>
    <w:rsid w:val="00F66229"/>
    <w:rsid w:val="00F71AEE"/>
    <w:rsid w:val="00F76BBB"/>
    <w:rsid w:val="00F96ABC"/>
    <w:rsid w:val="00FB276D"/>
    <w:rsid w:val="00FC17AB"/>
    <w:rsid w:val="00FD02DA"/>
    <w:rsid w:val="00FD2023"/>
    <w:rsid w:val="00FD55EE"/>
    <w:rsid w:val="00FF2EC9"/>
    <w:rsid w:val="00FF67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EFA0B"/>
  <w15:docId w15:val="{01BB6CF1-87DC-4898-9874-AD4093C0B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Roboto" w:eastAsia="Roboto" w:hAnsi="Roboto" w:cs="Roboto"/>
        <w:sz w:val="22"/>
        <w:szCs w:val="22"/>
        <w:lang w:val="fr-FR" w:eastAsia="fr-FR"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pBdr>
        <w:top w:val="single" w:sz="4" w:space="1" w:color="000000"/>
        <w:left w:val="single" w:sz="4" w:space="4" w:color="000000"/>
        <w:bottom w:val="single" w:sz="4" w:space="0" w:color="000000"/>
        <w:right w:val="single" w:sz="4" w:space="4" w:color="000000"/>
      </w:pBdr>
      <w:shd w:val="clear" w:color="auto" w:fill="FFFFFF"/>
      <w:ind w:left="357" w:hanging="357"/>
      <w:outlineLvl w:val="0"/>
    </w:pPr>
    <w:rPr>
      <w:rFonts w:ascii="Calibri" w:eastAsia="Calibri" w:hAnsi="Calibri" w:cs="Calibri"/>
      <w:sz w:val="24"/>
      <w:szCs w:val="24"/>
    </w:rPr>
  </w:style>
  <w:style w:type="paragraph" w:styleId="Titre2">
    <w:name w:val="heading 2"/>
    <w:basedOn w:val="Normal"/>
    <w:next w:val="Normal"/>
    <w:uiPriority w:val="9"/>
    <w:unhideWhenUsed/>
    <w:qFormat/>
    <w:pPr>
      <w:pBdr>
        <w:bottom w:val="single" w:sz="4" w:space="0" w:color="000000"/>
      </w:pBdr>
      <w:ind w:left="720" w:hanging="720"/>
      <w:outlineLvl w:val="1"/>
    </w:pPr>
    <w:rPr>
      <w:b/>
      <w:color w:val="000000"/>
      <w:sz w:val="24"/>
      <w:szCs w:val="24"/>
    </w:rPr>
  </w:style>
  <w:style w:type="paragraph" w:styleId="Titre3">
    <w:name w:val="heading 3"/>
    <w:basedOn w:val="Normal"/>
    <w:next w:val="Normal"/>
    <w:uiPriority w:val="9"/>
    <w:unhideWhenUsed/>
    <w:qFormat/>
    <w:pPr>
      <w:keepNext/>
      <w:spacing w:before="240" w:after="60"/>
      <w:outlineLvl w:val="2"/>
    </w:pPr>
    <w:rPr>
      <w:rFonts w:ascii="Cambria" w:eastAsia="Cambria" w:hAnsi="Cambria" w:cs="Cambria"/>
      <w:b/>
      <w:sz w:val="26"/>
      <w:szCs w:val="26"/>
    </w:rPr>
  </w:style>
  <w:style w:type="paragraph" w:styleId="Titre4">
    <w:name w:val="heading 4"/>
    <w:basedOn w:val="Normal"/>
    <w:next w:val="Normal"/>
    <w:uiPriority w:val="9"/>
    <w:unhideWhenUsed/>
    <w:qFormat/>
    <w:pPr>
      <w:keepNext/>
      <w:spacing w:before="240" w:after="60"/>
      <w:ind w:left="864" w:hanging="864"/>
      <w:outlineLvl w:val="3"/>
    </w:pPr>
    <w:rPr>
      <w:rFonts w:ascii="Calibri" w:eastAsia="Calibri" w:hAnsi="Calibri" w:cs="Calibri"/>
      <w:b/>
      <w:sz w:val="28"/>
      <w:szCs w:val="28"/>
    </w:rPr>
  </w:style>
  <w:style w:type="paragraph" w:styleId="Titre5">
    <w:name w:val="heading 5"/>
    <w:basedOn w:val="Normal"/>
    <w:next w:val="Normal"/>
    <w:uiPriority w:val="9"/>
    <w:semiHidden/>
    <w:unhideWhenUsed/>
    <w:qFormat/>
    <w:pPr>
      <w:spacing w:before="240" w:after="60"/>
      <w:ind w:left="1008" w:hanging="1008"/>
      <w:outlineLvl w:val="4"/>
    </w:pPr>
    <w:rPr>
      <w:rFonts w:ascii="Calibri" w:eastAsia="Calibri" w:hAnsi="Calibri" w:cs="Calibri"/>
      <w:b/>
      <w:i/>
      <w:sz w:val="26"/>
      <w:szCs w:val="26"/>
    </w:rPr>
  </w:style>
  <w:style w:type="paragraph" w:styleId="Titre6">
    <w:name w:val="heading 6"/>
    <w:basedOn w:val="Normal"/>
    <w:next w:val="Normal"/>
    <w:uiPriority w:val="9"/>
    <w:semiHidden/>
    <w:unhideWhenUsed/>
    <w:qFormat/>
    <w:pPr>
      <w:spacing w:before="240" w:after="60"/>
      <w:ind w:left="1152" w:hanging="1152"/>
      <w:outlineLvl w:val="5"/>
    </w:pPr>
    <w:rPr>
      <w:rFonts w:ascii="Calibri" w:eastAsia="Calibri" w:hAnsi="Calibri" w:cs="Calibri"/>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pBdr>
        <w:bottom w:val="single" w:sz="4" w:space="0" w:color="000000"/>
      </w:pBdr>
      <w:ind w:left="720" w:hanging="720"/>
    </w:pPr>
    <w:rPr>
      <w:b/>
      <w:color w:val="000000"/>
      <w:sz w:val="24"/>
      <w:szCs w:val="24"/>
    </w:rPr>
  </w:style>
  <w:style w:type="paragraph" w:styleId="Sous-titre">
    <w:name w:val="Subtitle"/>
    <w:basedOn w:val="Normal"/>
    <w:next w:val="Normal"/>
    <w:uiPriority w:val="11"/>
    <w:qFormat/>
    <w:pPr>
      <w:ind w:left="720" w:hanging="360"/>
    </w:pPr>
    <w:rPr>
      <w:b/>
      <w:color w:val="000000"/>
      <w:u w:val="single"/>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paragraph" w:styleId="Rvision">
    <w:name w:val="Revision"/>
    <w:hidden/>
    <w:uiPriority w:val="99"/>
    <w:semiHidden/>
    <w:rsid w:val="00BF71D3"/>
    <w:pPr>
      <w:jc w:val="left"/>
    </w:pPr>
  </w:style>
  <w:style w:type="table" w:styleId="Grilledutableau">
    <w:name w:val="Table Grid"/>
    <w:basedOn w:val="TableauNormal"/>
    <w:uiPriority w:val="39"/>
    <w:rsid w:val="00554003"/>
    <w:pPr>
      <w:jc w:val="left"/>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7F1F62"/>
    <w:rPr>
      <w:rFonts w:ascii="Segoe UI" w:hAnsi="Segoe UI" w:cs="Segoe UI"/>
      <w:sz w:val="18"/>
      <w:szCs w:val="18"/>
    </w:rPr>
  </w:style>
  <w:style w:type="character" w:customStyle="1" w:styleId="TextedebullesCar">
    <w:name w:val="Texte de bulles Car"/>
    <w:basedOn w:val="Policepardfaut"/>
    <w:link w:val="Textedebulles"/>
    <w:uiPriority w:val="99"/>
    <w:semiHidden/>
    <w:rsid w:val="007F1F62"/>
    <w:rPr>
      <w:rFonts w:ascii="Segoe UI" w:hAnsi="Segoe UI" w:cs="Segoe UI"/>
      <w:sz w:val="18"/>
      <w:szCs w:val="18"/>
    </w:rPr>
  </w:style>
  <w:style w:type="character" w:styleId="Marquedecommentaire">
    <w:name w:val="annotation reference"/>
    <w:basedOn w:val="Policepardfaut"/>
    <w:uiPriority w:val="99"/>
    <w:semiHidden/>
    <w:unhideWhenUsed/>
    <w:rsid w:val="007F1F62"/>
    <w:rPr>
      <w:sz w:val="16"/>
      <w:szCs w:val="16"/>
    </w:rPr>
  </w:style>
  <w:style w:type="paragraph" w:styleId="Commentaire">
    <w:name w:val="annotation text"/>
    <w:basedOn w:val="Normal"/>
    <w:link w:val="CommentaireCar"/>
    <w:uiPriority w:val="99"/>
    <w:unhideWhenUsed/>
    <w:rsid w:val="007F1F62"/>
    <w:rPr>
      <w:sz w:val="20"/>
      <w:szCs w:val="20"/>
    </w:rPr>
  </w:style>
  <w:style w:type="character" w:customStyle="1" w:styleId="CommentaireCar">
    <w:name w:val="Commentaire Car"/>
    <w:basedOn w:val="Policepardfaut"/>
    <w:link w:val="Commentaire"/>
    <w:uiPriority w:val="99"/>
    <w:rsid w:val="007F1F62"/>
    <w:rPr>
      <w:sz w:val="20"/>
      <w:szCs w:val="20"/>
    </w:rPr>
  </w:style>
  <w:style w:type="paragraph" w:styleId="Objetducommentaire">
    <w:name w:val="annotation subject"/>
    <w:basedOn w:val="Commentaire"/>
    <w:next w:val="Commentaire"/>
    <w:link w:val="ObjetducommentaireCar"/>
    <w:uiPriority w:val="99"/>
    <w:semiHidden/>
    <w:unhideWhenUsed/>
    <w:rsid w:val="007F1F62"/>
    <w:rPr>
      <w:b/>
      <w:bCs/>
    </w:rPr>
  </w:style>
  <w:style w:type="character" w:customStyle="1" w:styleId="ObjetducommentaireCar">
    <w:name w:val="Objet du commentaire Car"/>
    <w:basedOn w:val="CommentaireCar"/>
    <w:link w:val="Objetducommentaire"/>
    <w:uiPriority w:val="99"/>
    <w:semiHidden/>
    <w:rsid w:val="007F1F62"/>
    <w:rPr>
      <w:b/>
      <w:bCs/>
      <w:sz w:val="20"/>
      <w:szCs w:val="20"/>
    </w:rPr>
  </w:style>
  <w:style w:type="paragraph" w:styleId="Paragraphedeliste">
    <w:name w:val="List Paragraph"/>
    <w:aliases w:val="List Paragraph1,List Paragraph (bulleted list),Bullet 1 List,Indent Paragraph,List Paragraph (numbered (a)),References,Bullets,Table/Figure Heading,En tête 1,List_Paragraph,Multilevel para_II,Akapit z listą BS,Bullet1,Titulo 4,Listes"/>
    <w:basedOn w:val="Normal"/>
    <w:link w:val="ParagraphedelisteCar"/>
    <w:uiPriority w:val="34"/>
    <w:qFormat/>
    <w:rsid w:val="00951A3A"/>
    <w:pPr>
      <w:ind w:left="720"/>
      <w:contextualSpacing/>
    </w:pPr>
  </w:style>
  <w:style w:type="paragraph" w:styleId="En-ttedetabledesmatires">
    <w:name w:val="TOC Heading"/>
    <w:basedOn w:val="Titre1"/>
    <w:next w:val="Normal"/>
    <w:uiPriority w:val="39"/>
    <w:unhideWhenUsed/>
    <w:qFormat/>
    <w:rsid w:val="003C2BB3"/>
    <w:pPr>
      <w:keepNext/>
      <w:keepLines/>
      <w:pBdr>
        <w:top w:val="none" w:sz="0" w:space="0" w:color="auto"/>
        <w:left w:val="none" w:sz="0" w:space="0" w:color="auto"/>
        <w:bottom w:val="none" w:sz="0" w:space="0" w:color="auto"/>
        <w:right w:val="none" w:sz="0" w:space="0" w:color="auto"/>
      </w:pBdr>
      <w:shd w:val="clear" w:color="auto" w:fill="auto"/>
      <w:spacing w:before="240" w:line="259" w:lineRule="auto"/>
      <w:ind w:left="0" w:firstLine="0"/>
      <w:jc w:val="left"/>
      <w:outlineLvl w:val="9"/>
    </w:pPr>
    <w:rPr>
      <w:rFonts w:asciiTheme="majorHAnsi" w:eastAsiaTheme="majorEastAsia" w:hAnsiTheme="majorHAnsi" w:cstheme="majorBidi"/>
      <w:color w:val="365F91" w:themeColor="accent1" w:themeShade="BF"/>
      <w:sz w:val="32"/>
      <w:szCs w:val="32"/>
    </w:rPr>
  </w:style>
  <w:style w:type="paragraph" w:styleId="TM1">
    <w:name w:val="toc 1"/>
    <w:basedOn w:val="Normal"/>
    <w:next w:val="Normal"/>
    <w:autoRedefine/>
    <w:uiPriority w:val="39"/>
    <w:unhideWhenUsed/>
    <w:rsid w:val="003C2BB3"/>
    <w:pPr>
      <w:spacing w:after="100"/>
    </w:pPr>
  </w:style>
  <w:style w:type="paragraph" w:styleId="TM2">
    <w:name w:val="toc 2"/>
    <w:basedOn w:val="Normal"/>
    <w:next w:val="Normal"/>
    <w:autoRedefine/>
    <w:uiPriority w:val="39"/>
    <w:unhideWhenUsed/>
    <w:rsid w:val="003C2BB3"/>
    <w:pPr>
      <w:spacing w:after="100"/>
      <w:ind w:left="220"/>
    </w:pPr>
  </w:style>
  <w:style w:type="character" w:styleId="Lienhypertexte">
    <w:name w:val="Hyperlink"/>
    <w:basedOn w:val="Policepardfaut"/>
    <w:uiPriority w:val="99"/>
    <w:unhideWhenUsed/>
    <w:rsid w:val="003C2BB3"/>
    <w:rPr>
      <w:color w:val="0000FF" w:themeColor="hyperlink"/>
      <w:u w:val="single"/>
    </w:rPr>
  </w:style>
  <w:style w:type="character" w:customStyle="1" w:styleId="ParagraphedelisteCar">
    <w:name w:val="Paragraphe de liste Car"/>
    <w:aliases w:val="List Paragraph1 Car,List Paragraph (bulleted list) Car,Bullet 1 List Car,Indent Paragraph Car,List Paragraph (numbered (a)) Car,References Car,Bullets Car,Table/Figure Heading Car,En tête 1 Car,List_Paragraph Car,Bullet1 Car"/>
    <w:link w:val="Paragraphedeliste"/>
    <w:uiPriority w:val="34"/>
    <w:qFormat/>
    <w:locked/>
    <w:rsid w:val="0080239D"/>
  </w:style>
  <w:style w:type="paragraph" w:styleId="Lgende">
    <w:name w:val="caption"/>
    <w:basedOn w:val="Normal"/>
    <w:next w:val="Normal"/>
    <w:uiPriority w:val="35"/>
    <w:unhideWhenUsed/>
    <w:qFormat/>
    <w:rsid w:val="0080239D"/>
    <w:pPr>
      <w:spacing w:after="200"/>
    </w:pPr>
    <w:rPr>
      <w:i/>
      <w:iCs/>
      <w:color w:val="1F497D" w:themeColor="text2"/>
      <w:sz w:val="18"/>
      <w:szCs w:val="18"/>
    </w:rPr>
  </w:style>
  <w:style w:type="paragraph" w:styleId="NormalWeb">
    <w:name w:val="Normal (Web)"/>
    <w:basedOn w:val="Normal"/>
    <w:uiPriority w:val="99"/>
    <w:semiHidden/>
    <w:unhideWhenUsed/>
    <w:rsid w:val="00FF2EC9"/>
    <w:rPr>
      <w:rFonts w:ascii="Times New Roman" w:hAnsi="Times New Roman" w:cs="Times New Roman"/>
      <w:sz w:val="24"/>
      <w:szCs w:val="24"/>
    </w:rPr>
  </w:style>
  <w:style w:type="character" w:styleId="Appelnotedebasdep">
    <w:name w:val="footnote reference"/>
    <w:aliases w:val="ftref,16 Point,Superscript 6 Point,(NECG) Footnote Reference,Footnote number,BVI fnr,Comment Text Char1,Footnote Reference1"/>
    <w:uiPriority w:val="99"/>
    <w:rsid w:val="00EE44F4"/>
    <w:rPr>
      <w:vertAlign w:val="baseline"/>
    </w:rPr>
  </w:style>
  <w:style w:type="paragraph" w:styleId="Liste4">
    <w:name w:val="List 4"/>
    <w:basedOn w:val="Normal"/>
    <w:rsid w:val="00EE44F4"/>
    <w:pPr>
      <w:spacing w:after="120"/>
      <w:ind w:left="357"/>
    </w:pPr>
    <w:rPr>
      <w:rFonts w:ascii="Times New Roman" w:eastAsia="Times New Roman" w:hAnsi="Times New Roman" w:cs="Times New Roman"/>
      <w:i/>
      <w:sz w:val="24"/>
      <w:szCs w:val="20"/>
    </w:rPr>
  </w:style>
  <w:style w:type="paragraph" w:styleId="Notedebasdepage">
    <w:name w:val="footnote text"/>
    <w:aliases w:val="FOOTNOTES,fn,single space,pied de page,Footnote,12pt,Note de bas de page Car1,Note de bas de page Car Car,Note de bas de page Car1 Car Car,Note de bas de page Car Car Car Car,fn Car Car Car Car,Footnote Text Char Char Char,ft,ADB,ft1"/>
    <w:basedOn w:val="Normal"/>
    <w:link w:val="NotedebasdepageCar"/>
    <w:uiPriority w:val="99"/>
    <w:rsid w:val="00EE44F4"/>
    <w:rPr>
      <w:rFonts w:ascii="Times New Roman" w:eastAsia="Times New Roman" w:hAnsi="Times New Roman" w:cs="Times New Roman"/>
      <w:sz w:val="20"/>
      <w:szCs w:val="20"/>
    </w:rPr>
  </w:style>
  <w:style w:type="character" w:customStyle="1" w:styleId="NotedebasdepageCar">
    <w:name w:val="Note de bas de page Car"/>
    <w:aliases w:val="FOOTNOTES Car,fn Car,single space Car,pied de page Car,Footnote Car,12pt Car,Note de bas de page Car1 Car,Note de bas de page Car Car Car,Note de bas de page Car1 Car Car Car,Note de bas de page Car Car Car Car Car,ft Car,ADB Car"/>
    <w:basedOn w:val="Policepardfaut"/>
    <w:link w:val="Notedebasdepage"/>
    <w:uiPriority w:val="99"/>
    <w:rsid w:val="00EE44F4"/>
    <w:rPr>
      <w:rFonts w:ascii="Times New Roman" w:eastAsia="Times New Roman" w:hAnsi="Times New Roman" w:cs="Times New Roman"/>
      <w:sz w:val="20"/>
      <w:szCs w:val="20"/>
    </w:rPr>
  </w:style>
  <w:style w:type="paragraph" w:styleId="TM3">
    <w:name w:val="toc 3"/>
    <w:basedOn w:val="Normal"/>
    <w:next w:val="Normal"/>
    <w:autoRedefine/>
    <w:uiPriority w:val="39"/>
    <w:unhideWhenUsed/>
    <w:rsid w:val="008C4668"/>
    <w:pPr>
      <w:spacing w:after="100"/>
      <w:ind w:left="440"/>
    </w:pPr>
  </w:style>
  <w:style w:type="paragraph" w:styleId="En-tte">
    <w:name w:val="header"/>
    <w:basedOn w:val="Normal"/>
    <w:link w:val="En-tteCar"/>
    <w:uiPriority w:val="99"/>
    <w:unhideWhenUsed/>
    <w:rsid w:val="00BA25AF"/>
    <w:pPr>
      <w:tabs>
        <w:tab w:val="center" w:pos="4536"/>
        <w:tab w:val="right" w:pos="9072"/>
      </w:tabs>
    </w:pPr>
  </w:style>
  <w:style w:type="character" w:customStyle="1" w:styleId="En-tteCar">
    <w:name w:val="En-tête Car"/>
    <w:basedOn w:val="Policepardfaut"/>
    <w:link w:val="En-tte"/>
    <w:uiPriority w:val="99"/>
    <w:rsid w:val="00BA25AF"/>
  </w:style>
  <w:style w:type="paragraph" w:styleId="Pieddepage">
    <w:name w:val="footer"/>
    <w:basedOn w:val="Normal"/>
    <w:link w:val="PieddepageCar"/>
    <w:uiPriority w:val="99"/>
    <w:unhideWhenUsed/>
    <w:rsid w:val="00BA25AF"/>
    <w:pPr>
      <w:tabs>
        <w:tab w:val="center" w:pos="4536"/>
        <w:tab w:val="right" w:pos="9072"/>
      </w:tabs>
    </w:pPr>
  </w:style>
  <w:style w:type="character" w:customStyle="1" w:styleId="PieddepageCar">
    <w:name w:val="Pied de page Car"/>
    <w:basedOn w:val="Policepardfaut"/>
    <w:link w:val="Pieddepage"/>
    <w:uiPriority w:val="99"/>
    <w:rsid w:val="00BA25AF"/>
  </w:style>
  <w:style w:type="character" w:styleId="lev">
    <w:name w:val="Strong"/>
    <w:basedOn w:val="Policepardfaut"/>
    <w:uiPriority w:val="22"/>
    <w:qFormat/>
    <w:rsid w:val="00A15E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37650">
      <w:bodyDiv w:val="1"/>
      <w:marLeft w:val="0"/>
      <w:marRight w:val="0"/>
      <w:marTop w:val="0"/>
      <w:marBottom w:val="0"/>
      <w:divBdr>
        <w:top w:val="none" w:sz="0" w:space="0" w:color="auto"/>
        <w:left w:val="none" w:sz="0" w:space="0" w:color="auto"/>
        <w:bottom w:val="none" w:sz="0" w:space="0" w:color="auto"/>
        <w:right w:val="none" w:sz="0" w:space="0" w:color="auto"/>
      </w:divBdr>
    </w:div>
    <w:div w:id="56365634">
      <w:bodyDiv w:val="1"/>
      <w:marLeft w:val="0"/>
      <w:marRight w:val="0"/>
      <w:marTop w:val="0"/>
      <w:marBottom w:val="0"/>
      <w:divBdr>
        <w:top w:val="none" w:sz="0" w:space="0" w:color="auto"/>
        <w:left w:val="none" w:sz="0" w:space="0" w:color="auto"/>
        <w:bottom w:val="none" w:sz="0" w:space="0" w:color="auto"/>
        <w:right w:val="none" w:sz="0" w:space="0" w:color="auto"/>
      </w:divBdr>
    </w:div>
    <w:div w:id="68236727">
      <w:bodyDiv w:val="1"/>
      <w:marLeft w:val="0"/>
      <w:marRight w:val="0"/>
      <w:marTop w:val="0"/>
      <w:marBottom w:val="0"/>
      <w:divBdr>
        <w:top w:val="none" w:sz="0" w:space="0" w:color="auto"/>
        <w:left w:val="none" w:sz="0" w:space="0" w:color="auto"/>
        <w:bottom w:val="none" w:sz="0" w:space="0" w:color="auto"/>
        <w:right w:val="none" w:sz="0" w:space="0" w:color="auto"/>
      </w:divBdr>
    </w:div>
    <w:div w:id="104693445">
      <w:bodyDiv w:val="1"/>
      <w:marLeft w:val="0"/>
      <w:marRight w:val="0"/>
      <w:marTop w:val="0"/>
      <w:marBottom w:val="0"/>
      <w:divBdr>
        <w:top w:val="none" w:sz="0" w:space="0" w:color="auto"/>
        <w:left w:val="none" w:sz="0" w:space="0" w:color="auto"/>
        <w:bottom w:val="none" w:sz="0" w:space="0" w:color="auto"/>
        <w:right w:val="none" w:sz="0" w:space="0" w:color="auto"/>
      </w:divBdr>
    </w:div>
    <w:div w:id="108668682">
      <w:bodyDiv w:val="1"/>
      <w:marLeft w:val="0"/>
      <w:marRight w:val="0"/>
      <w:marTop w:val="0"/>
      <w:marBottom w:val="0"/>
      <w:divBdr>
        <w:top w:val="none" w:sz="0" w:space="0" w:color="auto"/>
        <w:left w:val="none" w:sz="0" w:space="0" w:color="auto"/>
        <w:bottom w:val="none" w:sz="0" w:space="0" w:color="auto"/>
        <w:right w:val="none" w:sz="0" w:space="0" w:color="auto"/>
      </w:divBdr>
    </w:div>
    <w:div w:id="122625565">
      <w:bodyDiv w:val="1"/>
      <w:marLeft w:val="0"/>
      <w:marRight w:val="0"/>
      <w:marTop w:val="0"/>
      <w:marBottom w:val="0"/>
      <w:divBdr>
        <w:top w:val="none" w:sz="0" w:space="0" w:color="auto"/>
        <w:left w:val="none" w:sz="0" w:space="0" w:color="auto"/>
        <w:bottom w:val="none" w:sz="0" w:space="0" w:color="auto"/>
        <w:right w:val="none" w:sz="0" w:space="0" w:color="auto"/>
      </w:divBdr>
    </w:div>
    <w:div w:id="149760811">
      <w:bodyDiv w:val="1"/>
      <w:marLeft w:val="0"/>
      <w:marRight w:val="0"/>
      <w:marTop w:val="0"/>
      <w:marBottom w:val="0"/>
      <w:divBdr>
        <w:top w:val="none" w:sz="0" w:space="0" w:color="auto"/>
        <w:left w:val="none" w:sz="0" w:space="0" w:color="auto"/>
        <w:bottom w:val="none" w:sz="0" w:space="0" w:color="auto"/>
        <w:right w:val="none" w:sz="0" w:space="0" w:color="auto"/>
      </w:divBdr>
    </w:div>
    <w:div w:id="195460997">
      <w:bodyDiv w:val="1"/>
      <w:marLeft w:val="0"/>
      <w:marRight w:val="0"/>
      <w:marTop w:val="0"/>
      <w:marBottom w:val="0"/>
      <w:divBdr>
        <w:top w:val="none" w:sz="0" w:space="0" w:color="auto"/>
        <w:left w:val="none" w:sz="0" w:space="0" w:color="auto"/>
        <w:bottom w:val="none" w:sz="0" w:space="0" w:color="auto"/>
        <w:right w:val="none" w:sz="0" w:space="0" w:color="auto"/>
      </w:divBdr>
    </w:div>
    <w:div w:id="198054774">
      <w:bodyDiv w:val="1"/>
      <w:marLeft w:val="0"/>
      <w:marRight w:val="0"/>
      <w:marTop w:val="0"/>
      <w:marBottom w:val="0"/>
      <w:divBdr>
        <w:top w:val="none" w:sz="0" w:space="0" w:color="auto"/>
        <w:left w:val="none" w:sz="0" w:space="0" w:color="auto"/>
        <w:bottom w:val="none" w:sz="0" w:space="0" w:color="auto"/>
        <w:right w:val="none" w:sz="0" w:space="0" w:color="auto"/>
      </w:divBdr>
    </w:div>
    <w:div w:id="232588794">
      <w:bodyDiv w:val="1"/>
      <w:marLeft w:val="0"/>
      <w:marRight w:val="0"/>
      <w:marTop w:val="0"/>
      <w:marBottom w:val="0"/>
      <w:divBdr>
        <w:top w:val="none" w:sz="0" w:space="0" w:color="auto"/>
        <w:left w:val="none" w:sz="0" w:space="0" w:color="auto"/>
        <w:bottom w:val="none" w:sz="0" w:space="0" w:color="auto"/>
        <w:right w:val="none" w:sz="0" w:space="0" w:color="auto"/>
      </w:divBdr>
    </w:div>
    <w:div w:id="238949290">
      <w:bodyDiv w:val="1"/>
      <w:marLeft w:val="0"/>
      <w:marRight w:val="0"/>
      <w:marTop w:val="0"/>
      <w:marBottom w:val="0"/>
      <w:divBdr>
        <w:top w:val="none" w:sz="0" w:space="0" w:color="auto"/>
        <w:left w:val="none" w:sz="0" w:space="0" w:color="auto"/>
        <w:bottom w:val="none" w:sz="0" w:space="0" w:color="auto"/>
        <w:right w:val="none" w:sz="0" w:space="0" w:color="auto"/>
      </w:divBdr>
    </w:div>
    <w:div w:id="249504111">
      <w:bodyDiv w:val="1"/>
      <w:marLeft w:val="0"/>
      <w:marRight w:val="0"/>
      <w:marTop w:val="0"/>
      <w:marBottom w:val="0"/>
      <w:divBdr>
        <w:top w:val="none" w:sz="0" w:space="0" w:color="auto"/>
        <w:left w:val="none" w:sz="0" w:space="0" w:color="auto"/>
        <w:bottom w:val="none" w:sz="0" w:space="0" w:color="auto"/>
        <w:right w:val="none" w:sz="0" w:space="0" w:color="auto"/>
      </w:divBdr>
    </w:div>
    <w:div w:id="255135402">
      <w:bodyDiv w:val="1"/>
      <w:marLeft w:val="0"/>
      <w:marRight w:val="0"/>
      <w:marTop w:val="0"/>
      <w:marBottom w:val="0"/>
      <w:divBdr>
        <w:top w:val="none" w:sz="0" w:space="0" w:color="auto"/>
        <w:left w:val="none" w:sz="0" w:space="0" w:color="auto"/>
        <w:bottom w:val="none" w:sz="0" w:space="0" w:color="auto"/>
        <w:right w:val="none" w:sz="0" w:space="0" w:color="auto"/>
      </w:divBdr>
    </w:div>
    <w:div w:id="274602556">
      <w:bodyDiv w:val="1"/>
      <w:marLeft w:val="0"/>
      <w:marRight w:val="0"/>
      <w:marTop w:val="0"/>
      <w:marBottom w:val="0"/>
      <w:divBdr>
        <w:top w:val="none" w:sz="0" w:space="0" w:color="auto"/>
        <w:left w:val="none" w:sz="0" w:space="0" w:color="auto"/>
        <w:bottom w:val="none" w:sz="0" w:space="0" w:color="auto"/>
        <w:right w:val="none" w:sz="0" w:space="0" w:color="auto"/>
      </w:divBdr>
      <w:divsChild>
        <w:div w:id="17319970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1347055">
      <w:bodyDiv w:val="1"/>
      <w:marLeft w:val="0"/>
      <w:marRight w:val="0"/>
      <w:marTop w:val="0"/>
      <w:marBottom w:val="0"/>
      <w:divBdr>
        <w:top w:val="none" w:sz="0" w:space="0" w:color="auto"/>
        <w:left w:val="none" w:sz="0" w:space="0" w:color="auto"/>
        <w:bottom w:val="none" w:sz="0" w:space="0" w:color="auto"/>
        <w:right w:val="none" w:sz="0" w:space="0" w:color="auto"/>
      </w:divBdr>
    </w:div>
    <w:div w:id="328024820">
      <w:bodyDiv w:val="1"/>
      <w:marLeft w:val="0"/>
      <w:marRight w:val="0"/>
      <w:marTop w:val="0"/>
      <w:marBottom w:val="0"/>
      <w:divBdr>
        <w:top w:val="none" w:sz="0" w:space="0" w:color="auto"/>
        <w:left w:val="none" w:sz="0" w:space="0" w:color="auto"/>
        <w:bottom w:val="none" w:sz="0" w:space="0" w:color="auto"/>
        <w:right w:val="none" w:sz="0" w:space="0" w:color="auto"/>
      </w:divBdr>
    </w:div>
    <w:div w:id="369380047">
      <w:bodyDiv w:val="1"/>
      <w:marLeft w:val="0"/>
      <w:marRight w:val="0"/>
      <w:marTop w:val="0"/>
      <w:marBottom w:val="0"/>
      <w:divBdr>
        <w:top w:val="none" w:sz="0" w:space="0" w:color="auto"/>
        <w:left w:val="none" w:sz="0" w:space="0" w:color="auto"/>
        <w:bottom w:val="none" w:sz="0" w:space="0" w:color="auto"/>
        <w:right w:val="none" w:sz="0" w:space="0" w:color="auto"/>
      </w:divBdr>
    </w:div>
    <w:div w:id="389306438">
      <w:bodyDiv w:val="1"/>
      <w:marLeft w:val="0"/>
      <w:marRight w:val="0"/>
      <w:marTop w:val="0"/>
      <w:marBottom w:val="0"/>
      <w:divBdr>
        <w:top w:val="none" w:sz="0" w:space="0" w:color="auto"/>
        <w:left w:val="none" w:sz="0" w:space="0" w:color="auto"/>
        <w:bottom w:val="none" w:sz="0" w:space="0" w:color="auto"/>
        <w:right w:val="none" w:sz="0" w:space="0" w:color="auto"/>
      </w:divBdr>
    </w:div>
    <w:div w:id="391855330">
      <w:bodyDiv w:val="1"/>
      <w:marLeft w:val="0"/>
      <w:marRight w:val="0"/>
      <w:marTop w:val="0"/>
      <w:marBottom w:val="0"/>
      <w:divBdr>
        <w:top w:val="none" w:sz="0" w:space="0" w:color="auto"/>
        <w:left w:val="none" w:sz="0" w:space="0" w:color="auto"/>
        <w:bottom w:val="none" w:sz="0" w:space="0" w:color="auto"/>
        <w:right w:val="none" w:sz="0" w:space="0" w:color="auto"/>
      </w:divBdr>
    </w:div>
    <w:div w:id="409425586">
      <w:bodyDiv w:val="1"/>
      <w:marLeft w:val="0"/>
      <w:marRight w:val="0"/>
      <w:marTop w:val="0"/>
      <w:marBottom w:val="0"/>
      <w:divBdr>
        <w:top w:val="none" w:sz="0" w:space="0" w:color="auto"/>
        <w:left w:val="none" w:sz="0" w:space="0" w:color="auto"/>
        <w:bottom w:val="none" w:sz="0" w:space="0" w:color="auto"/>
        <w:right w:val="none" w:sz="0" w:space="0" w:color="auto"/>
      </w:divBdr>
    </w:div>
    <w:div w:id="438378998">
      <w:bodyDiv w:val="1"/>
      <w:marLeft w:val="0"/>
      <w:marRight w:val="0"/>
      <w:marTop w:val="0"/>
      <w:marBottom w:val="0"/>
      <w:divBdr>
        <w:top w:val="none" w:sz="0" w:space="0" w:color="auto"/>
        <w:left w:val="none" w:sz="0" w:space="0" w:color="auto"/>
        <w:bottom w:val="none" w:sz="0" w:space="0" w:color="auto"/>
        <w:right w:val="none" w:sz="0" w:space="0" w:color="auto"/>
      </w:divBdr>
    </w:div>
    <w:div w:id="439496772">
      <w:bodyDiv w:val="1"/>
      <w:marLeft w:val="0"/>
      <w:marRight w:val="0"/>
      <w:marTop w:val="0"/>
      <w:marBottom w:val="0"/>
      <w:divBdr>
        <w:top w:val="none" w:sz="0" w:space="0" w:color="auto"/>
        <w:left w:val="none" w:sz="0" w:space="0" w:color="auto"/>
        <w:bottom w:val="none" w:sz="0" w:space="0" w:color="auto"/>
        <w:right w:val="none" w:sz="0" w:space="0" w:color="auto"/>
      </w:divBdr>
    </w:div>
    <w:div w:id="472908334">
      <w:bodyDiv w:val="1"/>
      <w:marLeft w:val="0"/>
      <w:marRight w:val="0"/>
      <w:marTop w:val="0"/>
      <w:marBottom w:val="0"/>
      <w:divBdr>
        <w:top w:val="none" w:sz="0" w:space="0" w:color="auto"/>
        <w:left w:val="none" w:sz="0" w:space="0" w:color="auto"/>
        <w:bottom w:val="none" w:sz="0" w:space="0" w:color="auto"/>
        <w:right w:val="none" w:sz="0" w:space="0" w:color="auto"/>
      </w:divBdr>
    </w:div>
    <w:div w:id="485557670">
      <w:bodyDiv w:val="1"/>
      <w:marLeft w:val="0"/>
      <w:marRight w:val="0"/>
      <w:marTop w:val="0"/>
      <w:marBottom w:val="0"/>
      <w:divBdr>
        <w:top w:val="none" w:sz="0" w:space="0" w:color="auto"/>
        <w:left w:val="none" w:sz="0" w:space="0" w:color="auto"/>
        <w:bottom w:val="none" w:sz="0" w:space="0" w:color="auto"/>
        <w:right w:val="none" w:sz="0" w:space="0" w:color="auto"/>
      </w:divBdr>
    </w:div>
    <w:div w:id="489911752">
      <w:bodyDiv w:val="1"/>
      <w:marLeft w:val="0"/>
      <w:marRight w:val="0"/>
      <w:marTop w:val="0"/>
      <w:marBottom w:val="0"/>
      <w:divBdr>
        <w:top w:val="none" w:sz="0" w:space="0" w:color="auto"/>
        <w:left w:val="none" w:sz="0" w:space="0" w:color="auto"/>
        <w:bottom w:val="none" w:sz="0" w:space="0" w:color="auto"/>
        <w:right w:val="none" w:sz="0" w:space="0" w:color="auto"/>
      </w:divBdr>
    </w:div>
    <w:div w:id="528221662">
      <w:bodyDiv w:val="1"/>
      <w:marLeft w:val="0"/>
      <w:marRight w:val="0"/>
      <w:marTop w:val="0"/>
      <w:marBottom w:val="0"/>
      <w:divBdr>
        <w:top w:val="none" w:sz="0" w:space="0" w:color="auto"/>
        <w:left w:val="none" w:sz="0" w:space="0" w:color="auto"/>
        <w:bottom w:val="none" w:sz="0" w:space="0" w:color="auto"/>
        <w:right w:val="none" w:sz="0" w:space="0" w:color="auto"/>
      </w:divBdr>
    </w:div>
    <w:div w:id="554775027">
      <w:bodyDiv w:val="1"/>
      <w:marLeft w:val="0"/>
      <w:marRight w:val="0"/>
      <w:marTop w:val="0"/>
      <w:marBottom w:val="0"/>
      <w:divBdr>
        <w:top w:val="none" w:sz="0" w:space="0" w:color="auto"/>
        <w:left w:val="none" w:sz="0" w:space="0" w:color="auto"/>
        <w:bottom w:val="none" w:sz="0" w:space="0" w:color="auto"/>
        <w:right w:val="none" w:sz="0" w:space="0" w:color="auto"/>
      </w:divBdr>
    </w:div>
    <w:div w:id="586613908">
      <w:bodyDiv w:val="1"/>
      <w:marLeft w:val="0"/>
      <w:marRight w:val="0"/>
      <w:marTop w:val="0"/>
      <w:marBottom w:val="0"/>
      <w:divBdr>
        <w:top w:val="none" w:sz="0" w:space="0" w:color="auto"/>
        <w:left w:val="none" w:sz="0" w:space="0" w:color="auto"/>
        <w:bottom w:val="none" w:sz="0" w:space="0" w:color="auto"/>
        <w:right w:val="none" w:sz="0" w:space="0" w:color="auto"/>
      </w:divBdr>
    </w:div>
    <w:div w:id="600601734">
      <w:bodyDiv w:val="1"/>
      <w:marLeft w:val="0"/>
      <w:marRight w:val="0"/>
      <w:marTop w:val="0"/>
      <w:marBottom w:val="0"/>
      <w:divBdr>
        <w:top w:val="none" w:sz="0" w:space="0" w:color="auto"/>
        <w:left w:val="none" w:sz="0" w:space="0" w:color="auto"/>
        <w:bottom w:val="none" w:sz="0" w:space="0" w:color="auto"/>
        <w:right w:val="none" w:sz="0" w:space="0" w:color="auto"/>
      </w:divBdr>
    </w:div>
    <w:div w:id="623923151">
      <w:bodyDiv w:val="1"/>
      <w:marLeft w:val="0"/>
      <w:marRight w:val="0"/>
      <w:marTop w:val="0"/>
      <w:marBottom w:val="0"/>
      <w:divBdr>
        <w:top w:val="none" w:sz="0" w:space="0" w:color="auto"/>
        <w:left w:val="none" w:sz="0" w:space="0" w:color="auto"/>
        <w:bottom w:val="none" w:sz="0" w:space="0" w:color="auto"/>
        <w:right w:val="none" w:sz="0" w:space="0" w:color="auto"/>
      </w:divBdr>
    </w:div>
    <w:div w:id="628517521">
      <w:bodyDiv w:val="1"/>
      <w:marLeft w:val="0"/>
      <w:marRight w:val="0"/>
      <w:marTop w:val="0"/>
      <w:marBottom w:val="0"/>
      <w:divBdr>
        <w:top w:val="none" w:sz="0" w:space="0" w:color="auto"/>
        <w:left w:val="none" w:sz="0" w:space="0" w:color="auto"/>
        <w:bottom w:val="none" w:sz="0" w:space="0" w:color="auto"/>
        <w:right w:val="none" w:sz="0" w:space="0" w:color="auto"/>
      </w:divBdr>
    </w:div>
    <w:div w:id="666664775">
      <w:bodyDiv w:val="1"/>
      <w:marLeft w:val="0"/>
      <w:marRight w:val="0"/>
      <w:marTop w:val="0"/>
      <w:marBottom w:val="0"/>
      <w:divBdr>
        <w:top w:val="none" w:sz="0" w:space="0" w:color="auto"/>
        <w:left w:val="none" w:sz="0" w:space="0" w:color="auto"/>
        <w:bottom w:val="none" w:sz="0" w:space="0" w:color="auto"/>
        <w:right w:val="none" w:sz="0" w:space="0" w:color="auto"/>
      </w:divBdr>
    </w:div>
    <w:div w:id="700133171">
      <w:bodyDiv w:val="1"/>
      <w:marLeft w:val="0"/>
      <w:marRight w:val="0"/>
      <w:marTop w:val="0"/>
      <w:marBottom w:val="0"/>
      <w:divBdr>
        <w:top w:val="none" w:sz="0" w:space="0" w:color="auto"/>
        <w:left w:val="none" w:sz="0" w:space="0" w:color="auto"/>
        <w:bottom w:val="none" w:sz="0" w:space="0" w:color="auto"/>
        <w:right w:val="none" w:sz="0" w:space="0" w:color="auto"/>
      </w:divBdr>
    </w:div>
    <w:div w:id="715199583">
      <w:bodyDiv w:val="1"/>
      <w:marLeft w:val="0"/>
      <w:marRight w:val="0"/>
      <w:marTop w:val="0"/>
      <w:marBottom w:val="0"/>
      <w:divBdr>
        <w:top w:val="none" w:sz="0" w:space="0" w:color="auto"/>
        <w:left w:val="none" w:sz="0" w:space="0" w:color="auto"/>
        <w:bottom w:val="none" w:sz="0" w:space="0" w:color="auto"/>
        <w:right w:val="none" w:sz="0" w:space="0" w:color="auto"/>
      </w:divBdr>
    </w:div>
    <w:div w:id="744186472">
      <w:bodyDiv w:val="1"/>
      <w:marLeft w:val="0"/>
      <w:marRight w:val="0"/>
      <w:marTop w:val="0"/>
      <w:marBottom w:val="0"/>
      <w:divBdr>
        <w:top w:val="none" w:sz="0" w:space="0" w:color="auto"/>
        <w:left w:val="none" w:sz="0" w:space="0" w:color="auto"/>
        <w:bottom w:val="none" w:sz="0" w:space="0" w:color="auto"/>
        <w:right w:val="none" w:sz="0" w:space="0" w:color="auto"/>
      </w:divBdr>
    </w:div>
    <w:div w:id="765150564">
      <w:bodyDiv w:val="1"/>
      <w:marLeft w:val="0"/>
      <w:marRight w:val="0"/>
      <w:marTop w:val="0"/>
      <w:marBottom w:val="0"/>
      <w:divBdr>
        <w:top w:val="none" w:sz="0" w:space="0" w:color="auto"/>
        <w:left w:val="none" w:sz="0" w:space="0" w:color="auto"/>
        <w:bottom w:val="none" w:sz="0" w:space="0" w:color="auto"/>
        <w:right w:val="none" w:sz="0" w:space="0" w:color="auto"/>
      </w:divBdr>
    </w:div>
    <w:div w:id="766342515">
      <w:bodyDiv w:val="1"/>
      <w:marLeft w:val="0"/>
      <w:marRight w:val="0"/>
      <w:marTop w:val="0"/>
      <w:marBottom w:val="0"/>
      <w:divBdr>
        <w:top w:val="none" w:sz="0" w:space="0" w:color="auto"/>
        <w:left w:val="none" w:sz="0" w:space="0" w:color="auto"/>
        <w:bottom w:val="none" w:sz="0" w:space="0" w:color="auto"/>
        <w:right w:val="none" w:sz="0" w:space="0" w:color="auto"/>
      </w:divBdr>
    </w:div>
    <w:div w:id="781337173">
      <w:bodyDiv w:val="1"/>
      <w:marLeft w:val="0"/>
      <w:marRight w:val="0"/>
      <w:marTop w:val="0"/>
      <w:marBottom w:val="0"/>
      <w:divBdr>
        <w:top w:val="none" w:sz="0" w:space="0" w:color="auto"/>
        <w:left w:val="none" w:sz="0" w:space="0" w:color="auto"/>
        <w:bottom w:val="none" w:sz="0" w:space="0" w:color="auto"/>
        <w:right w:val="none" w:sz="0" w:space="0" w:color="auto"/>
      </w:divBdr>
    </w:div>
    <w:div w:id="793058558">
      <w:bodyDiv w:val="1"/>
      <w:marLeft w:val="0"/>
      <w:marRight w:val="0"/>
      <w:marTop w:val="0"/>
      <w:marBottom w:val="0"/>
      <w:divBdr>
        <w:top w:val="none" w:sz="0" w:space="0" w:color="auto"/>
        <w:left w:val="none" w:sz="0" w:space="0" w:color="auto"/>
        <w:bottom w:val="none" w:sz="0" w:space="0" w:color="auto"/>
        <w:right w:val="none" w:sz="0" w:space="0" w:color="auto"/>
      </w:divBdr>
    </w:div>
    <w:div w:id="804663952">
      <w:bodyDiv w:val="1"/>
      <w:marLeft w:val="0"/>
      <w:marRight w:val="0"/>
      <w:marTop w:val="0"/>
      <w:marBottom w:val="0"/>
      <w:divBdr>
        <w:top w:val="none" w:sz="0" w:space="0" w:color="auto"/>
        <w:left w:val="none" w:sz="0" w:space="0" w:color="auto"/>
        <w:bottom w:val="none" w:sz="0" w:space="0" w:color="auto"/>
        <w:right w:val="none" w:sz="0" w:space="0" w:color="auto"/>
      </w:divBdr>
    </w:div>
    <w:div w:id="807624154">
      <w:bodyDiv w:val="1"/>
      <w:marLeft w:val="0"/>
      <w:marRight w:val="0"/>
      <w:marTop w:val="0"/>
      <w:marBottom w:val="0"/>
      <w:divBdr>
        <w:top w:val="none" w:sz="0" w:space="0" w:color="auto"/>
        <w:left w:val="none" w:sz="0" w:space="0" w:color="auto"/>
        <w:bottom w:val="none" w:sz="0" w:space="0" w:color="auto"/>
        <w:right w:val="none" w:sz="0" w:space="0" w:color="auto"/>
      </w:divBdr>
    </w:div>
    <w:div w:id="841361753">
      <w:bodyDiv w:val="1"/>
      <w:marLeft w:val="0"/>
      <w:marRight w:val="0"/>
      <w:marTop w:val="0"/>
      <w:marBottom w:val="0"/>
      <w:divBdr>
        <w:top w:val="none" w:sz="0" w:space="0" w:color="auto"/>
        <w:left w:val="none" w:sz="0" w:space="0" w:color="auto"/>
        <w:bottom w:val="none" w:sz="0" w:space="0" w:color="auto"/>
        <w:right w:val="none" w:sz="0" w:space="0" w:color="auto"/>
      </w:divBdr>
    </w:div>
    <w:div w:id="863245251">
      <w:bodyDiv w:val="1"/>
      <w:marLeft w:val="0"/>
      <w:marRight w:val="0"/>
      <w:marTop w:val="0"/>
      <w:marBottom w:val="0"/>
      <w:divBdr>
        <w:top w:val="none" w:sz="0" w:space="0" w:color="auto"/>
        <w:left w:val="none" w:sz="0" w:space="0" w:color="auto"/>
        <w:bottom w:val="none" w:sz="0" w:space="0" w:color="auto"/>
        <w:right w:val="none" w:sz="0" w:space="0" w:color="auto"/>
      </w:divBdr>
    </w:div>
    <w:div w:id="882209556">
      <w:bodyDiv w:val="1"/>
      <w:marLeft w:val="0"/>
      <w:marRight w:val="0"/>
      <w:marTop w:val="0"/>
      <w:marBottom w:val="0"/>
      <w:divBdr>
        <w:top w:val="none" w:sz="0" w:space="0" w:color="auto"/>
        <w:left w:val="none" w:sz="0" w:space="0" w:color="auto"/>
        <w:bottom w:val="none" w:sz="0" w:space="0" w:color="auto"/>
        <w:right w:val="none" w:sz="0" w:space="0" w:color="auto"/>
      </w:divBdr>
    </w:div>
    <w:div w:id="933243328">
      <w:bodyDiv w:val="1"/>
      <w:marLeft w:val="0"/>
      <w:marRight w:val="0"/>
      <w:marTop w:val="0"/>
      <w:marBottom w:val="0"/>
      <w:divBdr>
        <w:top w:val="none" w:sz="0" w:space="0" w:color="auto"/>
        <w:left w:val="none" w:sz="0" w:space="0" w:color="auto"/>
        <w:bottom w:val="none" w:sz="0" w:space="0" w:color="auto"/>
        <w:right w:val="none" w:sz="0" w:space="0" w:color="auto"/>
      </w:divBdr>
    </w:div>
    <w:div w:id="963732320">
      <w:bodyDiv w:val="1"/>
      <w:marLeft w:val="0"/>
      <w:marRight w:val="0"/>
      <w:marTop w:val="0"/>
      <w:marBottom w:val="0"/>
      <w:divBdr>
        <w:top w:val="none" w:sz="0" w:space="0" w:color="auto"/>
        <w:left w:val="none" w:sz="0" w:space="0" w:color="auto"/>
        <w:bottom w:val="none" w:sz="0" w:space="0" w:color="auto"/>
        <w:right w:val="none" w:sz="0" w:space="0" w:color="auto"/>
      </w:divBdr>
    </w:div>
    <w:div w:id="1006055080">
      <w:bodyDiv w:val="1"/>
      <w:marLeft w:val="0"/>
      <w:marRight w:val="0"/>
      <w:marTop w:val="0"/>
      <w:marBottom w:val="0"/>
      <w:divBdr>
        <w:top w:val="none" w:sz="0" w:space="0" w:color="auto"/>
        <w:left w:val="none" w:sz="0" w:space="0" w:color="auto"/>
        <w:bottom w:val="none" w:sz="0" w:space="0" w:color="auto"/>
        <w:right w:val="none" w:sz="0" w:space="0" w:color="auto"/>
      </w:divBdr>
    </w:div>
    <w:div w:id="1007096730">
      <w:bodyDiv w:val="1"/>
      <w:marLeft w:val="0"/>
      <w:marRight w:val="0"/>
      <w:marTop w:val="0"/>
      <w:marBottom w:val="0"/>
      <w:divBdr>
        <w:top w:val="none" w:sz="0" w:space="0" w:color="auto"/>
        <w:left w:val="none" w:sz="0" w:space="0" w:color="auto"/>
        <w:bottom w:val="none" w:sz="0" w:space="0" w:color="auto"/>
        <w:right w:val="none" w:sz="0" w:space="0" w:color="auto"/>
      </w:divBdr>
    </w:div>
    <w:div w:id="1032455846">
      <w:bodyDiv w:val="1"/>
      <w:marLeft w:val="0"/>
      <w:marRight w:val="0"/>
      <w:marTop w:val="0"/>
      <w:marBottom w:val="0"/>
      <w:divBdr>
        <w:top w:val="none" w:sz="0" w:space="0" w:color="auto"/>
        <w:left w:val="none" w:sz="0" w:space="0" w:color="auto"/>
        <w:bottom w:val="none" w:sz="0" w:space="0" w:color="auto"/>
        <w:right w:val="none" w:sz="0" w:space="0" w:color="auto"/>
      </w:divBdr>
    </w:div>
    <w:div w:id="1071777749">
      <w:bodyDiv w:val="1"/>
      <w:marLeft w:val="0"/>
      <w:marRight w:val="0"/>
      <w:marTop w:val="0"/>
      <w:marBottom w:val="0"/>
      <w:divBdr>
        <w:top w:val="none" w:sz="0" w:space="0" w:color="auto"/>
        <w:left w:val="none" w:sz="0" w:space="0" w:color="auto"/>
        <w:bottom w:val="none" w:sz="0" w:space="0" w:color="auto"/>
        <w:right w:val="none" w:sz="0" w:space="0" w:color="auto"/>
      </w:divBdr>
    </w:div>
    <w:div w:id="1160388652">
      <w:bodyDiv w:val="1"/>
      <w:marLeft w:val="0"/>
      <w:marRight w:val="0"/>
      <w:marTop w:val="0"/>
      <w:marBottom w:val="0"/>
      <w:divBdr>
        <w:top w:val="none" w:sz="0" w:space="0" w:color="auto"/>
        <w:left w:val="none" w:sz="0" w:space="0" w:color="auto"/>
        <w:bottom w:val="none" w:sz="0" w:space="0" w:color="auto"/>
        <w:right w:val="none" w:sz="0" w:space="0" w:color="auto"/>
      </w:divBdr>
    </w:div>
    <w:div w:id="1166677230">
      <w:bodyDiv w:val="1"/>
      <w:marLeft w:val="0"/>
      <w:marRight w:val="0"/>
      <w:marTop w:val="0"/>
      <w:marBottom w:val="0"/>
      <w:divBdr>
        <w:top w:val="none" w:sz="0" w:space="0" w:color="auto"/>
        <w:left w:val="none" w:sz="0" w:space="0" w:color="auto"/>
        <w:bottom w:val="none" w:sz="0" w:space="0" w:color="auto"/>
        <w:right w:val="none" w:sz="0" w:space="0" w:color="auto"/>
      </w:divBdr>
    </w:div>
    <w:div w:id="1201013543">
      <w:bodyDiv w:val="1"/>
      <w:marLeft w:val="0"/>
      <w:marRight w:val="0"/>
      <w:marTop w:val="0"/>
      <w:marBottom w:val="0"/>
      <w:divBdr>
        <w:top w:val="none" w:sz="0" w:space="0" w:color="auto"/>
        <w:left w:val="none" w:sz="0" w:space="0" w:color="auto"/>
        <w:bottom w:val="none" w:sz="0" w:space="0" w:color="auto"/>
        <w:right w:val="none" w:sz="0" w:space="0" w:color="auto"/>
      </w:divBdr>
    </w:div>
    <w:div w:id="1274630636">
      <w:bodyDiv w:val="1"/>
      <w:marLeft w:val="0"/>
      <w:marRight w:val="0"/>
      <w:marTop w:val="0"/>
      <w:marBottom w:val="0"/>
      <w:divBdr>
        <w:top w:val="none" w:sz="0" w:space="0" w:color="auto"/>
        <w:left w:val="none" w:sz="0" w:space="0" w:color="auto"/>
        <w:bottom w:val="none" w:sz="0" w:space="0" w:color="auto"/>
        <w:right w:val="none" w:sz="0" w:space="0" w:color="auto"/>
      </w:divBdr>
    </w:div>
    <w:div w:id="1312053436">
      <w:bodyDiv w:val="1"/>
      <w:marLeft w:val="0"/>
      <w:marRight w:val="0"/>
      <w:marTop w:val="0"/>
      <w:marBottom w:val="0"/>
      <w:divBdr>
        <w:top w:val="none" w:sz="0" w:space="0" w:color="auto"/>
        <w:left w:val="none" w:sz="0" w:space="0" w:color="auto"/>
        <w:bottom w:val="none" w:sz="0" w:space="0" w:color="auto"/>
        <w:right w:val="none" w:sz="0" w:space="0" w:color="auto"/>
      </w:divBdr>
    </w:div>
    <w:div w:id="1313634897">
      <w:bodyDiv w:val="1"/>
      <w:marLeft w:val="0"/>
      <w:marRight w:val="0"/>
      <w:marTop w:val="0"/>
      <w:marBottom w:val="0"/>
      <w:divBdr>
        <w:top w:val="none" w:sz="0" w:space="0" w:color="auto"/>
        <w:left w:val="none" w:sz="0" w:space="0" w:color="auto"/>
        <w:bottom w:val="none" w:sz="0" w:space="0" w:color="auto"/>
        <w:right w:val="none" w:sz="0" w:space="0" w:color="auto"/>
      </w:divBdr>
    </w:div>
    <w:div w:id="1331173536">
      <w:bodyDiv w:val="1"/>
      <w:marLeft w:val="0"/>
      <w:marRight w:val="0"/>
      <w:marTop w:val="0"/>
      <w:marBottom w:val="0"/>
      <w:divBdr>
        <w:top w:val="none" w:sz="0" w:space="0" w:color="auto"/>
        <w:left w:val="none" w:sz="0" w:space="0" w:color="auto"/>
        <w:bottom w:val="none" w:sz="0" w:space="0" w:color="auto"/>
        <w:right w:val="none" w:sz="0" w:space="0" w:color="auto"/>
      </w:divBdr>
    </w:div>
    <w:div w:id="1376851256">
      <w:bodyDiv w:val="1"/>
      <w:marLeft w:val="0"/>
      <w:marRight w:val="0"/>
      <w:marTop w:val="0"/>
      <w:marBottom w:val="0"/>
      <w:divBdr>
        <w:top w:val="none" w:sz="0" w:space="0" w:color="auto"/>
        <w:left w:val="none" w:sz="0" w:space="0" w:color="auto"/>
        <w:bottom w:val="none" w:sz="0" w:space="0" w:color="auto"/>
        <w:right w:val="none" w:sz="0" w:space="0" w:color="auto"/>
      </w:divBdr>
    </w:div>
    <w:div w:id="1401906858">
      <w:bodyDiv w:val="1"/>
      <w:marLeft w:val="0"/>
      <w:marRight w:val="0"/>
      <w:marTop w:val="0"/>
      <w:marBottom w:val="0"/>
      <w:divBdr>
        <w:top w:val="none" w:sz="0" w:space="0" w:color="auto"/>
        <w:left w:val="none" w:sz="0" w:space="0" w:color="auto"/>
        <w:bottom w:val="none" w:sz="0" w:space="0" w:color="auto"/>
        <w:right w:val="none" w:sz="0" w:space="0" w:color="auto"/>
      </w:divBdr>
    </w:div>
    <w:div w:id="1403412475">
      <w:bodyDiv w:val="1"/>
      <w:marLeft w:val="0"/>
      <w:marRight w:val="0"/>
      <w:marTop w:val="0"/>
      <w:marBottom w:val="0"/>
      <w:divBdr>
        <w:top w:val="none" w:sz="0" w:space="0" w:color="auto"/>
        <w:left w:val="none" w:sz="0" w:space="0" w:color="auto"/>
        <w:bottom w:val="none" w:sz="0" w:space="0" w:color="auto"/>
        <w:right w:val="none" w:sz="0" w:space="0" w:color="auto"/>
      </w:divBdr>
    </w:div>
    <w:div w:id="1414352816">
      <w:bodyDiv w:val="1"/>
      <w:marLeft w:val="0"/>
      <w:marRight w:val="0"/>
      <w:marTop w:val="0"/>
      <w:marBottom w:val="0"/>
      <w:divBdr>
        <w:top w:val="none" w:sz="0" w:space="0" w:color="auto"/>
        <w:left w:val="none" w:sz="0" w:space="0" w:color="auto"/>
        <w:bottom w:val="none" w:sz="0" w:space="0" w:color="auto"/>
        <w:right w:val="none" w:sz="0" w:space="0" w:color="auto"/>
      </w:divBdr>
    </w:div>
    <w:div w:id="1461654732">
      <w:bodyDiv w:val="1"/>
      <w:marLeft w:val="0"/>
      <w:marRight w:val="0"/>
      <w:marTop w:val="0"/>
      <w:marBottom w:val="0"/>
      <w:divBdr>
        <w:top w:val="none" w:sz="0" w:space="0" w:color="auto"/>
        <w:left w:val="none" w:sz="0" w:space="0" w:color="auto"/>
        <w:bottom w:val="none" w:sz="0" w:space="0" w:color="auto"/>
        <w:right w:val="none" w:sz="0" w:space="0" w:color="auto"/>
      </w:divBdr>
    </w:div>
    <w:div w:id="1492018637">
      <w:bodyDiv w:val="1"/>
      <w:marLeft w:val="0"/>
      <w:marRight w:val="0"/>
      <w:marTop w:val="0"/>
      <w:marBottom w:val="0"/>
      <w:divBdr>
        <w:top w:val="none" w:sz="0" w:space="0" w:color="auto"/>
        <w:left w:val="none" w:sz="0" w:space="0" w:color="auto"/>
        <w:bottom w:val="none" w:sz="0" w:space="0" w:color="auto"/>
        <w:right w:val="none" w:sz="0" w:space="0" w:color="auto"/>
      </w:divBdr>
    </w:div>
    <w:div w:id="1516650299">
      <w:bodyDiv w:val="1"/>
      <w:marLeft w:val="0"/>
      <w:marRight w:val="0"/>
      <w:marTop w:val="0"/>
      <w:marBottom w:val="0"/>
      <w:divBdr>
        <w:top w:val="none" w:sz="0" w:space="0" w:color="auto"/>
        <w:left w:val="none" w:sz="0" w:space="0" w:color="auto"/>
        <w:bottom w:val="none" w:sz="0" w:space="0" w:color="auto"/>
        <w:right w:val="none" w:sz="0" w:space="0" w:color="auto"/>
      </w:divBdr>
    </w:div>
    <w:div w:id="1534732106">
      <w:bodyDiv w:val="1"/>
      <w:marLeft w:val="0"/>
      <w:marRight w:val="0"/>
      <w:marTop w:val="0"/>
      <w:marBottom w:val="0"/>
      <w:divBdr>
        <w:top w:val="none" w:sz="0" w:space="0" w:color="auto"/>
        <w:left w:val="none" w:sz="0" w:space="0" w:color="auto"/>
        <w:bottom w:val="none" w:sz="0" w:space="0" w:color="auto"/>
        <w:right w:val="none" w:sz="0" w:space="0" w:color="auto"/>
      </w:divBdr>
    </w:div>
    <w:div w:id="1544370828">
      <w:bodyDiv w:val="1"/>
      <w:marLeft w:val="0"/>
      <w:marRight w:val="0"/>
      <w:marTop w:val="0"/>
      <w:marBottom w:val="0"/>
      <w:divBdr>
        <w:top w:val="none" w:sz="0" w:space="0" w:color="auto"/>
        <w:left w:val="none" w:sz="0" w:space="0" w:color="auto"/>
        <w:bottom w:val="none" w:sz="0" w:space="0" w:color="auto"/>
        <w:right w:val="none" w:sz="0" w:space="0" w:color="auto"/>
      </w:divBdr>
    </w:div>
    <w:div w:id="1547913698">
      <w:bodyDiv w:val="1"/>
      <w:marLeft w:val="0"/>
      <w:marRight w:val="0"/>
      <w:marTop w:val="0"/>
      <w:marBottom w:val="0"/>
      <w:divBdr>
        <w:top w:val="none" w:sz="0" w:space="0" w:color="auto"/>
        <w:left w:val="none" w:sz="0" w:space="0" w:color="auto"/>
        <w:bottom w:val="none" w:sz="0" w:space="0" w:color="auto"/>
        <w:right w:val="none" w:sz="0" w:space="0" w:color="auto"/>
      </w:divBdr>
    </w:div>
    <w:div w:id="1586524613">
      <w:bodyDiv w:val="1"/>
      <w:marLeft w:val="0"/>
      <w:marRight w:val="0"/>
      <w:marTop w:val="0"/>
      <w:marBottom w:val="0"/>
      <w:divBdr>
        <w:top w:val="none" w:sz="0" w:space="0" w:color="auto"/>
        <w:left w:val="none" w:sz="0" w:space="0" w:color="auto"/>
        <w:bottom w:val="none" w:sz="0" w:space="0" w:color="auto"/>
        <w:right w:val="none" w:sz="0" w:space="0" w:color="auto"/>
      </w:divBdr>
    </w:div>
    <w:div w:id="1611081586">
      <w:bodyDiv w:val="1"/>
      <w:marLeft w:val="0"/>
      <w:marRight w:val="0"/>
      <w:marTop w:val="0"/>
      <w:marBottom w:val="0"/>
      <w:divBdr>
        <w:top w:val="none" w:sz="0" w:space="0" w:color="auto"/>
        <w:left w:val="none" w:sz="0" w:space="0" w:color="auto"/>
        <w:bottom w:val="none" w:sz="0" w:space="0" w:color="auto"/>
        <w:right w:val="none" w:sz="0" w:space="0" w:color="auto"/>
      </w:divBdr>
    </w:div>
    <w:div w:id="1614707761">
      <w:bodyDiv w:val="1"/>
      <w:marLeft w:val="0"/>
      <w:marRight w:val="0"/>
      <w:marTop w:val="0"/>
      <w:marBottom w:val="0"/>
      <w:divBdr>
        <w:top w:val="none" w:sz="0" w:space="0" w:color="auto"/>
        <w:left w:val="none" w:sz="0" w:space="0" w:color="auto"/>
        <w:bottom w:val="none" w:sz="0" w:space="0" w:color="auto"/>
        <w:right w:val="none" w:sz="0" w:space="0" w:color="auto"/>
      </w:divBdr>
    </w:div>
    <w:div w:id="1634099590">
      <w:bodyDiv w:val="1"/>
      <w:marLeft w:val="0"/>
      <w:marRight w:val="0"/>
      <w:marTop w:val="0"/>
      <w:marBottom w:val="0"/>
      <w:divBdr>
        <w:top w:val="none" w:sz="0" w:space="0" w:color="auto"/>
        <w:left w:val="none" w:sz="0" w:space="0" w:color="auto"/>
        <w:bottom w:val="none" w:sz="0" w:space="0" w:color="auto"/>
        <w:right w:val="none" w:sz="0" w:space="0" w:color="auto"/>
      </w:divBdr>
    </w:div>
    <w:div w:id="1683126097">
      <w:bodyDiv w:val="1"/>
      <w:marLeft w:val="0"/>
      <w:marRight w:val="0"/>
      <w:marTop w:val="0"/>
      <w:marBottom w:val="0"/>
      <w:divBdr>
        <w:top w:val="none" w:sz="0" w:space="0" w:color="auto"/>
        <w:left w:val="none" w:sz="0" w:space="0" w:color="auto"/>
        <w:bottom w:val="none" w:sz="0" w:space="0" w:color="auto"/>
        <w:right w:val="none" w:sz="0" w:space="0" w:color="auto"/>
      </w:divBdr>
    </w:div>
    <w:div w:id="1726754551">
      <w:bodyDiv w:val="1"/>
      <w:marLeft w:val="0"/>
      <w:marRight w:val="0"/>
      <w:marTop w:val="0"/>
      <w:marBottom w:val="0"/>
      <w:divBdr>
        <w:top w:val="none" w:sz="0" w:space="0" w:color="auto"/>
        <w:left w:val="none" w:sz="0" w:space="0" w:color="auto"/>
        <w:bottom w:val="none" w:sz="0" w:space="0" w:color="auto"/>
        <w:right w:val="none" w:sz="0" w:space="0" w:color="auto"/>
      </w:divBdr>
    </w:div>
    <w:div w:id="1727217593">
      <w:bodyDiv w:val="1"/>
      <w:marLeft w:val="0"/>
      <w:marRight w:val="0"/>
      <w:marTop w:val="0"/>
      <w:marBottom w:val="0"/>
      <w:divBdr>
        <w:top w:val="none" w:sz="0" w:space="0" w:color="auto"/>
        <w:left w:val="none" w:sz="0" w:space="0" w:color="auto"/>
        <w:bottom w:val="none" w:sz="0" w:space="0" w:color="auto"/>
        <w:right w:val="none" w:sz="0" w:space="0" w:color="auto"/>
      </w:divBdr>
    </w:div>
    <w:div w:id="1733312034">
      <w:bodyDiv w:val="1"/>
      <w:marLeft w:val="0"/>
      <w:marRight w:val="0"/>
      <w:marTop w:val="0"/>
      <w:marBottom w:val="0"/>
      <w:divBdr>
        <w:top w:val="none" w:sz="0" w:space="0" w:color="auto"/>
        <w:left w:val="none" w:sz="0" w:space="0" w:color="auto"/>
        <w:bottom w:val="none" w:sz="0" w:space="0" w:color="auto"/>
        <w:right w:val="none" w:sz="0" w:space="0" w:color="auto"/>
      </w:divBdr>
    </w:div>
    <w:div w:id="1816412089">
      <w:bodyDiv w:val="1"/>
      <w:marLeft w:val="0"/>
      <w:marRight w:val="0"/>
      <w:marTop w:val="0"/>
      <w:marBottom w:val="0"/>
      <w:divBdr>
        <w:top w:val="none" w:sz="0" w:space="0" w:color="auto"/>
        <w:left w:val="none" w:sz="0" w:space="0" w:color="auto"/>
        <w:bottom w:val="none" w:sz="0" w:space="0" w:color="auto"/>
        <w:right w:val="none" w:sz="0" w:space="0" w:color="auto"/>
      </w:divBdr>
    </w:div>
    <w:div w:id="1835023358">
      <w:bodyDiv w:val="1"/>
      <w:marLeft w:val="0"/>
      <w:marRight w:val="0"/>
      <w:marTop w:val="0"/>
      <w:marBottom w:val="0"/>
      <w:divBdr>
        <w:top w:val="none" w:sz="0" w:space="0" w:color="auto"/>
        <w:left w:val="none" w:sz="0" w:space="0" w:color="auto"/>
        <w:bottom w:val="none" w:sz="0" w:space="0" w:color="auto"/>
        <w:right w:val="none" w:sz="0" w:space="0" w:color="auto"/>
      </w:divBdr>
    </w:div>
    <w:div w:id="1854033465">
      <w:bodyDiv w:val="1"/>
      <w:marLeft w:val="0"/>
      <w:marRight w:val="0"/>
      <w:marTop w:val="0"/>
      <w:marBottom w:val="0"/>
      <w:divBdr>
        <w:top w:val="none" w:sz="0" w:space="0" w:color="auto"/>
        <w:left w:val="none" w:sz="0" w:space="0" w:color="auto"/>
        <w:bottom w:val="none" w:sz="0" w:space="0" w:color="auto"/>
        <w:right w:val="none" w:sz="0" w:space="0" w:color="auto"/>
      </w:divBdr>
    </w:div>
    <w:div w:id="1861891570">
      <w:bodyDiv w:val="1"/>
      <w:marLeft w:val="0"/>
      <w:marRight w:val="0"/>
      <w:marTop w:val="0"/>
      <w:marBottom w:val="0"/>
      <w:divBdr>
        <w:top w:val="none" w:sz="0" w:space="0" w:color="auto"/>
        <w:left w:val="none" w:sz="0" w:space="0" w:color="auto"/>
        <w:bottom w:val="none" w:sz="0" w:space="0" w:color="auto"/>
        <w:right w:val="none" w:sz="0" w:space="0" w:color="auto"/>
      </w:divBdr>
    </w:div>
    <w:div w:id="1911113407">
      <w:bodyDiv w:val="1"/>
      <w:marLeft w:val="0"/>
      <w:marRight w:val="0"/>
      <w:marTop w:val="0"/>
      <w:marBottom w:val="0"/>
      <w:divBdr>
        <w:top w:val="none" w:sz="0" w:space="0" w:color="auto"/>
        <w:left w:val="none" w:sz="0" w:space="0" w:color="auto"/>
        <w:bottom w:val="none" w:sz="0" w:space="0" w:color="auto"/>
        <w:right w:val="none" w:sz="0" w:space="0" w:color="auto"/>
      </w:divBdr>
      <w:divsChild>
        <w:div w:id="142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13537512">
      <w:bodyDiv w:val="1"/>
      <w:marLeft w:val="0"/>
      <w:marRight w:val="0"/>
      <w:marTop w:val="0"/>
      <w:marBottom w:val="0"/>
      <w:divBdr>
        <w:top w:val="none" w:sz="0" w:space="0" w:color="auto"/>
        <w:left w:val="none" w:sz="0" w:space="0" w:color="auto"/>
        <w:bottom w:val="none" w:sz="0" w:space="0" w:color="auto"/>
        <w:right w:val="none" w:sz="0" w:space="0" w:color="auto"/>
      </w:divBdr>
    </w:div>
    <w:div w:id="1944876146">
      <w:bodyDiv w:val="1"/>
      <w:marLeft w:val="0"/>
      <w:marRight w:val="0"/>
      <w:marTop w:val="0"/>
      <w:marBottom w:val="0"/>
      <w:divBdr>
        <w:top w:val="none" w:sz="0" w:space="0" w:color="auto"/>
        <w:left w:val="none" w:sz="0" w:space="0" w:color="auto"/>
        <w:bottom w:val="none" w:sz="0" w:space="0" w:color="auto"/>
        <w:right w:val="none" w:sz="0" w:space="0" w:color="auto"/>
      </w:divBdr>
    </w:div>
    <w:div w:id="1965573164">
      <w:bodyDiv w:val="1"/>
      <w:marLeft w:val="0"/>
      <w:marRight w:val="0"/>
      <w:marTop w:val="0"/>
      <w:marBottom w:val="0"/>
      <w:divBdr>
        <w:top w:val="none" w:sz="0" w:space="0" w:color="auto"/>
        <w:left w:val="none" w:sz="0" w:space="0" w:color="auto"/>
        <w:bottom w:val="none" w:sz="0" w:space="0" w:color="auto"/>
        <w:right w:val="none" w:sz="0" w:space="0" w:color="auto"/>
      </w:divBdr>
    </w:div>
    <w:div w:id="1977248597">
      <w:bodyDiv w:val="1"/>
      <w:marLeft w:val="0"/>
      <w:marRight w:val="0"/>
      <w:marTop w:val="0"/>
      <w:marBottom w:val="0"/>
      <w:divBdr>
        <w:top w:val="none" w:sz="0" w:space="0" w:color="auto"/>
        <w:left w:val="none" w:sz="0" w:space="0" w:color="auto"/>
        <w:bottom w:val="none" w:sz="0" w:space="0" w:color="auto"/>
        <w:right w:val="none" w:sz="0" w:space="0" w:color="auto"/>
      </w:divBdr>
    </w:div>
    <w:div w:id="2034913819">
      <w:bodyDiv w:val="1"/>
      <w:marLeft w:val="0"/>
      <w:marRight w:val="0"/>
      <w:marTop w:val="0"/>
      <w:marBottom w:val="0"/>
      <w:divBdr>
        <w:top w:val="none" w:sz="0" w:space="0" w:color="auto"/>
        <w:left w:val="none" w:sz="0" w:space="0" w:color="auto"/>
        <w:bottom w:val="none" w:sz="0" w:space="0" w:color="auto"/>
        <w:right w:val="none" w:sz="0" w:space="0" w:color="auto"/>
      </w:divBdr>
    </w:div>
    <w:div w:id="2083327487">
      <w:bodyDiv w:val="1"/>
      <w:marLeft w:val="0"/>
      <w:marRight w:val="0"/>
      <w:marTop w:val="0"/>
      <w:marBottom w:val="0"/>
      <w:divBdr>
        <w:top w:val="none" w:sz="0" w:space="0" w:color="auto"/>
        <w:left w:val="none" w:sz="0" w:space="0" w:color="auto"/>
        <w:bottom w:val="none" w:sz="0" w:space="0" w:color="auto"/>
        <w:right w:val="none" w:sz="0" w:space="0" w:color="auto"/>
      </w:divBdr>
    </w:div>
    <w:div w:id="2106345641">
      <w:bodyDiv w:val="1"/>
      <w:marLeft w:val="0"/>
      <w:marRight w:val="0"/>
      <w:marTop w:val="0"/>
      <w:marBottom w:val="0"/>
      <w:divBdr>
        <w:top w:val="none" w:sz="0" w:space="0" w:color="auto"/>
        <w:left w:val="none" w:sz="0" w:space="0" w:color="auto"/>
        <w:bottom w:val="none" w:sz="0" w:space="0" w:color="auto"/>
        <w:right w:val="none" w:sz="0" w:space="0" w:color="auto"/>
      </w:divBdr>
    </w:div>
    <w:div w:id="2106609901">
      <w:bodyDiv w:val="1"/>
      <w:marLeft w:val="0"/>
      <w:marRight w:val="0"/>
      <w:marTop w:val="0"/>
      <w:marBottom w:val="0"/>
      <w:divBdr>
        <w:top w:val="none" w:sz="0" w:space="0" w:color="auto"/>
        <w:left w:val="none" w:sz="0" w:space="0" w:color="auto"/>
        <w:bottom w:val="none" w:sz="0" w:space="0" w:color="auto"/>
        <w:right w:val="none" w:sz="0" w:space="0" w:color="auto"/>
      </w:divBdr>
    </w:div>
    <w:div w:id="2123835950">
      <w:bodyDiv w:val="1"/>
      <w:marLeft w:val="0"/>
      <w:marRight w:val="0"/>
      <w:marTop w:val="0"/>
      <w:marBottom w:val="0"/>
      <w:divBdr>
        <w:top w:val="none" w:sz="0" w:space="0" w:color="auto"/>
        <w:left w:val="none" w:sz="0" w:space="0" w:color="auto"/>
        <w:bottom w:val="none" w:sz="0" w:space="0" w:color="auto"/>
        <w:right w:val="none" w:sz="0" w:space="0" w:color="auto"/>
      </w:divBdr>
    </w:div>
    <w:div w:id="2129354893">
      <w:bodyDiv w:val="1"/>
      <w:marLeft w:val="0"/>
      <w:marRight w:val="0"/>
      <w:marTop w:val="0"/>
      <w:marBottom w:val="0"/>
      <w:divBdr>
        <w:top w:val="none" w:sz="0" w:space="0" w:color="auto"/>
        <w:left w:val="none" w:sz="0" w:space="0" w:color="auto"/>
        <w:bottom w:val="none" w:sz="0" w:space="0" w:color="auto"/>
        <w:right w:val="none" w:sz="0" w:space="0" w:color="auto"/>
      </w:divBdr>
    </w:div>
    <w:div w:id="21383753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fd.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xpertisefrance.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roparco.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AB1806-10DF-47C1-8654-CC8E7E3F4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8215</Words>
  <Characters>45186</Characters>
  <Application>Microsoft Office Word</Application>
  <DocSecurity>0</DocSecurity>
  <Lines>376</Lines>
  <Paragraphs>106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Kennely</dc:creator>
  <cp:lastModifiedBy>DIALLO Mariama</cp:lastModifiedBy>
  <cp:revision>2</cp:revision>
  <cp:lastPrinted>2025-10-15T09:08:00Z</cp:lastPrinted>
  <dcterms:created xsi:type="dcterms:W3CDTF">2025-10-15T09:08:00Z</dcterms:created>
  <dcterms:modified xsi:type="dcterms:W3CDTF">2025-10-15T09:08:00Z</dcterms:modified>
</cp:coreProperties>
</file>